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hint="eastAsia" w:ascii="华文细黑" w:hAnsi="华文细黑" w:eastAsia="华文细黑" w:cs="华文细黑"/>
          <w:color w:val="000000" w:themeColor="text1"/>
          <w:sz w:val="32"/>
          <w:szCs w:val="32"/>
          <w14:textFill>
            <w14:solidFill>
              <w14:schemeClr w14:val="tx1"/>
            </w14:solidFill>
          </w14:textFill>
        </w:rPr>
      </w:pPr>
      <w:r>
        <w:rPr>
          <w:rFonts w:hint="eastAsia" w:ascii="华文细黑" w:hAnsi="华文细黑" w:eastAsia="华文细黑" w:cs="华文细黑"/>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-62230</wp:posOffset>
                </wp:positionV>
                <wp:extent cx="1455420" cy="497205"/>
                <wp:effectExtent l="0" t="0" r="11430" b="254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455420" cy="497205"/>
                        </a:xfrm>
                        <a:prstGeom prst="rect">
                          <a:avLst/>
                        </a:prstGeom>
                        <a:solidFill>
                          <a:srgbClr val="FFFFFF"/>
                        </a:solidFill>
                        <a:ln w="9525">
                          <a:solidFill>
                            <a:srgbClr val="000000"/>
                          </a:solidFill>
                          <a:miter lim="800000"/>
                        </a:ln>
                      </wps:spPr>
                      <wps:txbx>
                        <w:txbxContent>
                          <w:p>
                            <w:pPr>
                              <w:adjustRightInd w:val="0"/>
                              <w:snapToGrid w:val="0"/>
                              <w:jc w:val="center"/>
                              <w:rPr>
                                <w:b/>
                              </w:rPr>
                            </w:pPr>
                            <w:r>
                              <w:rPr>
                                <w:b/>
                              </w:rPr>
                              <w:t>荆楚理工学院四届二次“两代会”材料之</w:t>
                            </w:r>
                            <w:r>
                              <w:rPr>
                                <w:rFonts w:hint="eastAsia"/>
                                <w:b/>
                              </w:rPr>
                              <w:t>一</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0.2pt;margin-top:-4.9pt;height:39.15pt;width:114.6pt;z-index:251659264;mso-width-relative:page;mso-height-relative:margin;mso-height-percent:200;" fillcolor="#FFFFFF" filled="t" stroked="t" coordsize="21600,21600" o:gfxdata="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5siWiNUA&#10;AAAHAQAADwAAAAAAAAABACAAAAAiAAAAZHJzL2Rvd25yZXYueG1sUEsBAhQAFAAAAAgAh07iQN2l&#10;CtYiAgAAOQQAAA4AAAAAAAAAAQAgAAAAJAEAAGRycy9lMm9Eb2MueG1sUEsFBgAAAAAGAAYAWQEA&#10;ALgFAAAAAA==&#10;">
                <v:fill on="t" focussize="0,0"/>
                <v:stroke color="#000000" miterlimit="8" joinstyle="miter"/>
                <v:imagedata o:title=""/>
                <o:lock v:ext="edit" aspectratio="f"/>
                <v:textbox style="mso-fit-shape-to-text:t;">
                  <w:txbxContent>
                    <w:p>
                      <w:pPr>
                        <w:adjustRightInd w:val="0"/>
                        <w:snapToGrid w:val="0"/>
                        <w:jc w:val="center"/>
                        <w:rPr>
                          <w:b/>
                        </w:rPr>
                      </w:pPr>
                      <w:r>
                        <w:rPr>
                          <w:b/>
                        </w:rPr>
                        <w:t>荆楚理工学院四届二次“两代会”材料之</w:t>
                      </w:r>
                      <w:r>
                        <w:rPr>
                          <w:rFonts w:hint="eastAsia"/>
                          <w:b/>
                        </w:rPr>
                        <w:t>一</w:t>
                      </w:r>
                    </w:p>
                  </w:txbxContent>
                </v:textbox>
              </v:shape>
            </w:pict>
          </mc:Fallback>
        </mc:AlternateContent>
      </w:r>
    </w:p>
    <w:p>
      <w:pPr>
        <w:widowControl/>
        <w:shd w:val="clear" w:color="auto" w:fill="FFFFFF"/>
        <w:rPr>
          <w:rFonts w:hint="eastAsia" w:ascii="华文细黑" w:hAnsi="华文细黑" w:eastAsia="华文细黑" w:cs="华文细黑"/>
          <w:color w:val="000000" w:themeColor="text1"/>
          <w:sz w:val="32"/>
          <w:szCs w:val="32"/>
          <w14:textFill>
            <w14:solidFill>
              <w14:schemeClr w14:val="tx1"/>
            </w14:solidFill>
          </w14:textFill>
        </w:rPr>
      </w:pPr>
    </w:p>
    <w:p>
      <w:pPr>
        <w:widowControl/>
        <w:shd w:val="clear" w:color="auto" w:fill="FFFFFF"/>
        <w:jc w:val="center"/>
        <w:rPr>
          <w:rFonts w:ascii="微软雅黑" w:hAnsi="微软雅黑" w:eastAsia="微软雅黑"/>
          <w:b/>
          <w:bCs/>
          <w:color w:val="000000" w:themeColor="text1"/>
          <w:sz w:val="36"/>
          <w:szCs w:val="36"/>
          <w14:textFill>
            <w14:solidFill>
              <w14:schemeClr w14:val="tx1"/>
            </w14:solidFill>
          </w14:textFill>
        </w:rPr>
      </w:pPr>
      <w:r>
        <w:rPr>
          <w:rFonts w:hint="eastAsia" w:ascii="微软雅黑" w:hAnsi="微软雅黑" w:eastAsia="微软雅黑"/>
          <w:b/>
          <w:bCs/>
          <w:color w:val="000000" w:themeColor="text1"/>
          <w:sz w:val="36"/>
          <w:szCs w:val="36"/>
          <w14:textFill>
            <w14:solidFill>
              <w14:schemeClr w14:val="tx1"/>
            </w14:solidFill>
          </w14:textFill>
        </w:rPr>
        <w:t>聚焦内涵建设 深化产教融合</w:t>
      </w:r>
    </w:p>
    <w:p>
      <w:pPr>
        <w:jc w:val="center"/>
        <w:rPr>
          <w:rFonts w:ascii="微软雅黑" w:hAnsi="微软雅黑" w:eastAsia="微软雅黑"/>
          <w:b/>
          <w:bCs/>
          <w:color w:val="000000" w:themeColor="text1"/>
          <w:sz w:val="36"/>
          <w:szCs w:val="36"/>
          <w14:textFill>
            <w14:solidFill>
              <w14:schemeClr w14:val="tx1"/>
            </w14:solidFill>
          </w14:textFill>
        </w:rPr>
      </w:pPr>
      <w:r>
        <w:rPr>
          <w:rFonts w:hint="eastAsia" w:ascii="微软雅黑" w:hAnsi="微软雅黑" w:eastAsia="微软雅黑"/>
          <w:b/>
          <w:bCs/>
          <w:color w:val="000000" w:themeColor="text1"/>
          <w:sz w:val="36"/>
          <w:szCs w:val="36"/>
          <w14:textFill>
            <w14:solidFill>
              <w14:schemeClr w14:val="tx1"/>
            </w14:solidFill>
          </w14:textFill>
        </w:rPr>
        <w:t>为建设特色鲜明的高水平应用型大学而接续奋斗</w:t>
      </w:r>
    </w:p>
    <w:p>
      <w:pPr>
        <w:spacing w:line="600" w:lineRule="exact"/>
        <w:jc w:val="center"/>
        <w:rPr>
          <w:rFonts w:ascii="楷体" w:hAnsi="楷体" w:eastAsia="楷体"/>
          <w:color w:val="000000" w:themeColor="text1"/>
          <w:sz w:val="36"/>
          <w:szCs w:val="36"/>
          <w14:textFill>
            <w14:solidFill>
              <w14:schemeClr w14:val="tx1"/>
            </w14:solidFill>
          </w14:textFill>
        </w:rPr>
      </w:pPr>
      <w:r>
        <w:rPr>
          <w:rFonts w:hint="eastAsia" w:ascii="楷体" w:hAnsi="楷体" w:eastAsia="楷体"/>
          <w:color w:val="000000" w:themeColor="text1"/>
          <w:sz w:val="36"/>
          <w:szCs w:val="36"/>
          <w14:textFill>
            <w14:solidFill>
              <w14:schemeClr w14:val="tx1"/>
            </w14:solidFill>
          </w14:textFill>
        </w:rPr>
        <w:t>—— 在荆楚理工学院四届二次教职工代表大会</w:t>
      </w:r>
    </w:p>
    <w:p>
      <w:pPr>
        <w:spacing w:line="600" w:lineRule="exact"/>
        <w:jc w:val="center"/>
        <w:rPr>
          <w:rFonts w:hint="eastAsia" w:ascii="楷体" w:hAnsi="楷体" w:eastAsia="楷体"/>
          <w:color w:val="000000" w:themeColor="text1"/>
          <w:sz w:val="36"/>
          <w:szCs w:val="36"/>
          <w14:textFill>
            <w14:solidFill>
              <w14:schemeClr w14:val="tx1"/>
            </w14:solidFill>
          </w14:textFill>
        </w:rPr>
      </w:pPr>
      <w:r>
        <w:rPr>
          <w:rFonts w:hint="eastAsia" w:ascii="楷体" w:hAnsi="楷体" w:eastAsia="楷体"/>
          <w:color w:val="000000" w:themeColor="text1"/>
          <w:sz w:val="36"/>
          <w:szCs w:val="36"/>
          <w14:textFill>
            <w14:solidFill>
              <w14:schemeClr w14:val="tx1"/>
            </w14:solidFill>
          </w14:textFill>
        </w:rPr>
        <w:t>暨工会会员代表大会上的工作报告</w:t>
      </w:r>
    </w:p>
    <w:p>
      <w:pPr>
        <w:pStyle w:val="2"/>
        <w:ind w:firstLine="3213" w:firstLineChars="1000"/>
        <w:jc w:val="both"/>
        <w:rPr>
          <w:rFonts w:hint="eastAsia" w:ascii="楷体_GB2312" w:hAnsi="宋体" w:eastAsia="楷体_GB2312" w:cs="Times New Roman"/>
          <w:b/>
          <w:bCs/>
          <w:color w:val="000000" w:themeColor="text1"/>
          <w:sz w:val="32"/>
          <w:szCs w:val="32"/>
          <w:lang w:val="en-US" w:eastAsia="zh-CN"/>
          <w14:textFill>
            <w14:solidFill>
              <w14:schemeClr w14:val="tx1"/>
            </w14:solidFill>
          </w14:textFill>
        </w:rPr>
      </w:pPr>
      <w:r>
        <w:rPr>
          <w:rFonts w:hint="eastAsia" w:ascii="楷体_GB2312" w:hAnsi="宋体" w:eastAsia="楷体_GB2312" w:cs="Times New Roman"/>
          <w:b/>
          <w:bCs/>
          <w:color w:val="000000" w:themeColor="text1"/>
          <w:sz w:val="32"/>
          <w:szCs w:val="32"/>
          <w:lang w:val="en-US" w:eastAsia="zh-CN"/>
          <w14:textFill>
            <w14:solidFill>
              <w14:schemeClr w14:val="tx1"/>
            </w14:solidFill>
          </w14:textFill>
        </w:rPr>
        <w:t>校 长  刘建清</w:t>
      </w:r>
    </w:p>
    <w:p>
      <w:pPr>
        <w:pStyle w:val="2"/>
        <w:ind w:firstLine="2570" w:firstLineChars="800"/>
        <w:jc w:val="both"/>
        <w:rPr>
          <w:rFonts w:hint="eastAsia" w:ascii="楷体_GB2312" w:hAnsi="宋体" w:eastAsia="楷体_GB2312" w:cs="Times New Roman"/>
          <w:b/>
          <w:bCs/>
          <w:color w:val="000000" w:themeColor="text1"/>
          <w:sz w:val="32"/>
          <w:szCs w:val="32"/>
          <w14:textFill>
            <w14:solidFill>
              <w14:schemeClr w14:val="tx1"/>
            </w14:solidFill>
          </w14:textFill>
        </w:rPr>
      </w:pPr>
      <w:bookmarkStart w:id="0" w:name="_GoBack"/>
      <w:bookmarkEnd w:id="0"/>
      <w:r>
        <w:rPr>
          <w:rFonts w:hint="eastAsia" w:ascii="楷体_GB2312" w:hAnsi="宋体" w:eastAsia="楷体_GB2312" w:cs="Times New Roman"/>
          <w:b/>
          <w:bCs/>
          <w:color w:val="000000" w:themeColor="text1"/>
          <w:sz w:val="32"/>
          <w:szCs w:val="32"/>
          <w14:textFill>
            <w14:solidFill>
              <w14:schemeClr w14:val="tx1"/>
            </w14:solidFill>
          </w14:textFill>
        </w:rPr>
        <w:t>（</w:t>
      </w:r>
      <w:r>
        <w:rPr>
          <w:rFonts w:hint="eastAsia" w:ascii="楷体_GB2312" w:hAnsi="楷体" w:eastAsia="楷体_GB2312" w:cs="Times New Roman"/>
          <w:b/>
          <w:bCs/>
          <w:color w:val="000000" w:themeColor="text1"/>
          <w:sz w:val="32"/>
          <w:szCs w:val="32"/>
          <w14:textFill>
            <w14:solidFill>
              <w14:schemeClr w14:val="tx1"/>
            </w14:solidFill>
          </w14:textFill>
        </w:rPr>
        <w:t>2023</w:t>
      </w:r>
      <w:r>
        <w:rPr>
          <w:rFonts w:hint="eastAsia" w:ascii="楷体_GB2312" w:hAnsi="宋体" w:eastAsia="楷体_GB2312" w:cs="Times New Roman"/>
          <w:b/>
          <w:bCs/>
          <w:color w:val="000000" w:themeColor="text1"/>
          <w:sz w:val="32"/>
          <w:szCs w:val="32"/>
          <w14:textFill>
            <w14:solidFill>
              <w14:schemeClr w14:val="tx1"/>
            </w14:solidFill>
          </w14:textFill>
        </w:rPr>
        <w:t>年</w:t>
      </w:r>
      <w:r>
        <w:rPr>
          <w:rFonts w:hint="eastAsia" w:ascii="楷体_GB2312" w:hAnsi="楷体" w:eastAsia="楷体_GB2312" w:cs="Times New Roman"/>
          <w:b/>
          <w:bCs/>
          <w:color w:val="000000" w:themeColor="text1"/>
          <w:sz w:val="32"/>
          <w:szCs w:val="32"/>
          <w14:textFill>
            <w14:solidFill>
              <w14:schemeClr w14:val="tx1"/>
            </w14:solidFill>
          </w14:textFill>
        </w:rPr>
        <w:t>2</w:t>
      </w:r>
      <w:r>
        <w:rPr>
          <w:rFonts w:hint="eastAsia" w:ascii="楷体_GB2312" w:hAnsi="宋体" w:eastAsia="楷体_GB2312" w:cs="Times New Roman"/>
          <w:b/>
          <w:bCs/>
          <w:color w:val="000000" w:themeColor="text1"/>
          <w:sz w:val="32"/>
          <w:szCs w:val="32"/>
          <w14:textFill>
            <w14:solidFill>
              <w14:schemeClr w14:val="tx1"/>
            </w14:solidFill>
          </w14:textFill>
        </w:rPr>
        <w:t>月</w:t>
      </w:r>
      <w:r>
        <w:rPr>
          <w:rFonts w:hint="eastAsia" w:ascii="楷体_GB2312" w:hAnsi="楷体" w:eastAsia="楷体_GB2312" w:cs="Times New Roman"/>
          <w:b/>
          <w:bCs/>
          <w:color w:val="000000" w:themeColor="text1"/>
          <w:sz w:val="32"/>
          <w:szCs w:val="32"/>
          <w14:textFill>
            <w14:solidFill>
              <w14:schemeClr w14:val="tx1"/>
            </w14:solidFill>
          </w14:textFill>
        </w:rPr>
        <w:t>10</w:t>
      </w:r>
      <w:r>
        <w:rPr>
          <w:rFonts w:hint="eastAsia" w:ascii="楷体_GB2312" w:hAnsi="宋体" w:eastAsia="楷体_GB2312" w:cs="Times New Roman"/>
          <w:b/>
          <w:bCs/>
          <w:color w:val="000000" w:themeColor="text1"/>
          <w:sz w:val="32"/>
          <w:szCs w:val="32"/>
          <w14:textFill>
            <w14:solidFill>
              <w14:schemeClr w14:val="tx1"/>
            </w14:solidFill>
          </w14:textFill>
        </w:rPr>
        <w:t>日）</w:t>
      </w:r>
    </w:p>
    <w:p>
      <w:pPr>
        <w:spacing w:line="600" w:lineRule="exact"/>
        <w:jc w:val="center"/>
        <w:rPr>
          <w:rFonts w:ascii="楷体_GB2312" w:hAnsi="楷体" w:eastAsia="楷体_GB2312" w:cs="Times New Roman"/>
          <w:b/>
          <w:bCs/>
          <w:color w:val="000000" w:themeColor="text1"/>
          <w:sz w:val="32"/>
          <w:szCs w:val="32"/>
          <w14:textFill>
            <w14:solidFill>
              <w14:schemeClr w14:val="tx1"/>
            </w14:solidFill>
          </w14:textFill>
        </w:rPr>
      </w:pPr>
    </w:p>
    <w:p>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各位代表，老师们，同志们：</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本次会议是在全国上下深入学习宣传贯彻党的二十大 精神</w:t>
      </w:r>
      <w:r>
        <w:rPr>
          <w:rFonts w:hint="eastAsia" w:ascii="仿宋" w:hAnsi="仿宋" w:eastAsia="仿宋"/>
          <w:color w:val="000000" w:themeColor="text1"/>
          <w:sz w:val="32"/>
          <w:szCs w:val="32"/>
          <w14:textFill>
            <w14:solidFill>
              <w14:schemeClr w14:val="tx1"/>
            </w14:solidFill>
          </w14:textFill>
        </w:rPr>
        <w:t>之际</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在学校贯彻落实第一次党代会提出的“审核评估”“达标申硕”目标、全面深入实施 “十四五”规划、加速推进学校高质量发展的关键时期召开的一次重要会议。现在，我代表学校向大会作工作报告，请予审议，并请各位特邀代表和列席同志提出意见。</w:t>
      </w:r>
    </w:p>
    <w:p>
      <w:pPr>
        <w:pStyle w:val="6"/>
        <w:shd w:val="clear" w:color="auto" w:fill="FFFFFF"/>
        <w:spacing w:before="0" w:beforeAutospacing="0" w:after="0" w:afterAutospacing="0" w:line="560" w:lineRule="exact"/>
        <w:ind w:firstLine="645"/>
        <w:jc w:val="both"/>
        <w:rPr>
          <w:rFonts w:ascii="Arial" w:hAnsi="Arial" w:cs="Arial"/>
          <w:color w:val="2C2C2C"/>
          <w:sz w:val="18"/>
          <w:szCs w:val="18"/>
        </w:rPr>
      </w:pPr>
      <w:r>
        <w:rPr>
          <w:rFonts w:hint="eastAsia" w:ascii="黑体" w:hAnsi="黑体" w:eastAsia="黑体" w:cs="Arial"/>
          <w:color w:val="000000"/>
          <w:sz w:val="32"/>
          <w:szCs w:val="32"/>
        </w:rPr>
        <w:t>一、202</w:t>
      </w:r>
      <w:r>
        <w:rPr>
          <w:rFonts w:ascii="黑体" w:hAnsi="黑体" w:eastAsia="黑体" w:cs="Arial"/>
          <w:color w:val="000000"/>
          <w:sz w:val="32"/>
          <w:szCs w:val="32"/>
        </w:rPr>
        <w:t>2</w:t>
      </w:r>
      <w:r>
        <w:rPr>
          <w:rFonts w:hint="eastAsia" w:ascii="黑体" w:hAnsi="黑体" w:eastAsia="黑体" w:cs="Arial"/>
          <w:color w:val="000000"/>
          <w:sz w:val="32"/>
          <w:szCs w:val="32"/>
        </w:rPr>
        <w:t>年工作回顾</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年来，我们坚持以习近平新时代中国特色社会主义思想为指导，深入学习贯彻党的十九大、十九届历次全会、二十大和省第十二次党代会精神，认真贯彻落实习近平总书记关于教育的重要论述，落实立德树人根本任务，全面融入湖北发展大局，统筹事业发展与安全稳定，在应对挑战中主动作为，在爬坡过坎中砥砺前行，学校在国家级一流专业、国家备案众创空间、“科创中国”创新基地等“国字号”以及中外合作办学项目、省级教学成果一等奖等多项指标方面实现零的突破，进一步夯实了发展基础。</w:t>
      </w:r>
    </w:p>
    <w:p>
      <w:pPr>
        <w:spacing w:line="56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楷体" w:hAnsi="楷体" w:eastAsia="楷体"/>
          <w:b/>
          <w:sz w:val="32"/>
          <w:szCs w:val="32"/>
        </w:rPr>
        <w:t>一是顶层设计逐步完善。</w:t>
      </w:r>
      <w:r>
        <w:rPr>
          <w:rFonts w:hint="eastAsia" w:ascii="仿宋" w:hAnsi="仿宋" w:eastAsia="仿宋"/>
          <w:color w:val="000000" w:themeColor="text1"/>
          <w:sz w:val="32"/>
          <w:szCs w:val="32"/>
          <w14:textFill>
            <w14:solidFill>
              <w14:schemeClr w14:val="tx1"/>
            </w14:solidFill>
          </w14:textFill>
        </w:rPr>
        <w:t>以聚焦第一次党代会明确的“审核评估”和“达标申硕”目标任务、实施“十四五”规划为主题，开展了办学思想大讨论系列活动，提出了产教融合和服务地方发展的具体举措，整体提升了学校教育质量水平。全面修订《荆楚理工学院章程》，现代大学制度建设迈出新步伐。统筹推进“十四五”规划落实，印制学校“十四五”事业发展规划、三个子规划，制定《荆楚理工学院“十四五”规划2022年度量化任务指标分解表》，切实增强全校师生规划引领发展的思想意识，确保规划各项任务有人抓、能落实、见成效。</w:t>
      </w:r>
    </w:p>
    <w:p>
      <w:pPr>
        <w:spacing w:line="560" w:lineRule="exact"/>
        <w:ind w:firstLine="643" w:firstLineChars="200"/>
        <w:rPr>
          <w:rFonts w:hint="eastAsia" w:ascii="仿宋_GB2312" w:eastAsia="仿宋"/>
          <w:sz w:val="32"/>
          <w:szCs w:val="32"/>
          <w:lang w:eastAsia="zh-CN"/>
        </w:rPr>
      </w:pPr>
      <w:r>
        <w:rPr>
          <w:rFonts w:hint="eastAsia" w:ascii="楷体" w:hAnsi="楷体" w:eastAsia="楷体"/>
          <w:b/>
          <w:sz w:val="32"/>
          <w:szCs w:val="32"/>
        </w:rPr>
        <w:t>二是人才培养质量稳步提高。</w:t>
      </w:r>
      <w:r>
        <w:rPr>
          <w:rFonts w:hint="eastAsia" w:ascii="仿宋" w:hAnsi="仿宋" w:eastAsia="仿宋"/>
          <w:color w:val="000000" w:themeColor="text1"/>
          <w:sz w:val="32"/>
          <w:szCs w:val="32"/>
          <w14:textFill>
            <w14:solidFill>
              <w14:schemeClr w14:val="tx1"/>
            </w14:solidFill>
          </w14:textFill>
        </w:rPr>
        <w:t>以“四新”建设为抓手，扎实推进一流本科教育。</w:t>
      </w:r>
      <w:r>
        <w:rPr>
          <w:rFonts w:hint="eastAsia" w:ascii="仿宋_GB2312" w:eastAsia="仿宋_GB2312"/>
          <w:sz w:val="32"/>
          <w:szCs w:val="32"/>
        </w:rPr>
        <w:t>广播电视编导专业获批国家一流专业建设点，数字媒体技术专业获批首个教育部中外合作办学项目，大学生创新创业园被认定为“国家级众创空间”。</w:t>
      </w:r>
      <w:r>
        <w:rPr>
          <w:rFonts w:hint="eastAsia" w:ascii="仿宋" w:hAnsi="仿宋" w:eastAsia="仿宋"/>
          <w:color w:val="000000" w:themeColor="text1"/>
          <w:sz w:val="32"/>
          <w:szCs w:val="32"/>
          <w14:textFill>
            <w14:solidFill>
              <w14:schemeClr w14:val="tx1"/>
            </w14:solidFill>
          </w14:textFill>
        </w:rPr>
        <w:t>获批省级教学成果一等奖1项、二等奖3项、三等奖2项。新增省级一流专业建设点4个、省级一流本科课程10门、省级优秀基层教学组织2个、省级教学改革项目立项6项。</w:t>
      </w:r>
      <w:r>
        <w:rPr>
          <w:rFonts w:hint="eastAsia" w:ascii="仿宋_GB2312" w:eastAsia="仿宋_GB2312"/>
          <w:sz w:val="32"/>
          <w:szCs w:val="32"/>
        </w:rPr>
        <w:t>学生参加国家、省部级竞赛获奖649人次，</w:t>
      </w:r>
      <w:r>
        <w:rPr>
          <w:rFonts w:hint="eastAsia" w:ascii="仿宋" w:hAnsi="仿宋" w:eastAsia="仿宋"/>
          <w:color w:val="000000" w:themeColor="text1"/>
          <w:sz w:val="32"/>
          <w:szCs w:val="32"/>
          <w14:textFill>
            <w14:solidFill>
              <w14:schemeClr w14:val="tx1"/>
            </w14:solidFill>
          </w14:textFill>
        </w:rPr>
        <w:t>本科生以第一作者/通信作者发表论文37项、获专利（著作权）32项。入选教育部产学合作协同育人项目1</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项，校地行企共建产学研合作项目18项。启动省级一流专业建设点专业认证和评估工作，小学教育专业接受教育部师范类专业第二级认证线上考查。</w:t>
      </w:r>
      <w:r>
        <w:rPr>
          <w:rFonts w:hint="eastAsia" w:ascii="仿宋_GB2312" w:eastAsia="仿宋_GB2312"/>
          <w:sz w:val="32"/>
          <w:szCs w:val="32"/>
        </w:rPr>
        <w:t>“芳才志愿服务队”再获共青团中央表彰。</w:t>
      </w:r>
      <w:r>
        <w:rPr>
          <w:rFonts w:hint="eastAsia" w:ascii="仿宋" w:hAnsi="仿宋" w:eastAsia="仿宋"/>
          <w:color w:val="000000" w:themeColor="text1"/>
          <w:sz w:val="32"/>
          <w:szCs w:val="32"/>
          <w14:textFill>
            <w14:solidFill>
              <w14:schemeClr w14:val="tx1"/>
            </w14:solidFill>
          </w14:textFill>
        </w:rPr>
        <w:t>获批省级“一站式”学生社区试点高校，在宿舍区挂牌成立19个“辅导员工作室”。留学生教育首批学历生40人顺利毕业，读研率达80%以上。</w:t>
      </w:r>
    </w:p>
    <w:p>
      <w:pPr>
        <w:spacing w:line="560" w:lineRule="exact"/>
        <w:ind w:firstLine="643" w:firstLineChars="200"/>
        <w:rPr>
          <w:rFonts w:ascii="仿宋" w:hAnsi="仿宋" w:eastAsia="仿宋"/>
          <w:color w:val="000000"/>
          <w:sz w:val="32"/>
          <w:szCs w:val="32"/>
        </w:rPr>
      </w:pPr>
      <w:r>
        <w:rPr>
          <w:rFonts w:hint="eastAsia" w:ascii="楷体" w:hAnsi="楷体" w:eastAsia="楷体"/>
          <w:b/>
          <w:sz w:val="32"/>
          <w:szCs w:val="32"/>
        </w:rPr>
        <w:t>三是</w:t>
      </w:r>
      <w:r>
        <w:rPr>
          <w:rFonts w:ascii="楷体" w:hAnsi="楷体" w:eastAsia="楷体"/>
          <w:b/>
          <w:sz w:val="32"/>
          <w:szCs w:val="32"/>
        </w:rPr>
        <w:t>科研创新水平不断提升</w:t>
      </w:r>
      <w:r>
        <w:rPr>
          <w:rFonts w:hint="eastAsia" w:ascii="楷体" w:hAnsi="楷体" w:eastAsia="楷体"/>
          <w:b/>
          <w:sz w:val="32"/>
          <w:szCs w:val="32"/>
        </w:rPr>
        <w:t>。</w:t>
      </w:r>
      <w:r>
        <w:rPr>
          <w:rFonts w:hint="eastAsia" w:ascii="仿宋" w:hAnsi="仿宋" w:eastAsia="仿宋"/>
          <w:color w:val="000000" w:themeColor="text1"/>
          <w:sz w:val="32"/>
          <w:szCs w:val="32"/>
          <w14:textFill>
            <w14:solidFill>
              <w14:schemeClr w14:val="tx1"/>
            </w14:solidFill>
          </w14:textFill>
        </w:rPr>
        <w:t>湖北荆门产业技术研究院入选首批“科创中国”创新基地，为全省唯一一家获批产学研协作类创新基地的高校新型研发机构，也是我校首个国家级科技平台。获批</w:t>
      </w:r>
      <w:r>
        <w:rPr>
          <w:rFonts w:ascii="仿宋" w:hAnsi="仿宋" w:eastAsia="仿宋"/>
          <w:color w:val="000000"/>
          <w:sz w:val="32"/>
          <w:szCs w:val="32"/>
        </w:rPr>
        <w:t>国家级项目5项、</w:t>
      </w:r>
      <w:r>
        <w:rPr>
          <w:rFonts w:hint="eastAsia" w:ascii="仿宋" w:hAnsi="仿宋" w:eastAsia="仿宋"/>
          <w:color w:val="000000" w:themeColor="text1"/>
          <w:sz w:val="32"/>
          <w:szCs w:val="32"/>
          <w14:textFill>
            <w14:solidFill>
              <w14:schemeClr w14:val="tx1"/>
            </w14:solidFill>
          </w14:textFill>
        </w:rPr>
        <w:t>省部级项目67项、市级项目44项，</w:t>
      </w:r>
      <w:r>
        <w:rPr>
          <w:rFonts w:ascii="仿宋" w:hAnsi="仿宋" w:eastAsia="仿宋"/>
          <w:color w:val="000000"/>
          <w:sz w:val="32"/>
          <w:szCs w:val="32"/>
        </w:rPr>
        <w:t>新增12个国家、省、市级项目来源，</w:t>
      </w:r>
      <w:r>
        <w:rPr>
          <w:rFonts w:hint="eastAsia" w:ascii="仿宋_GB2312" w:eastAsia="仿宋_GB2312"/>
          <w:sz w:val="32"/>
          <w:szCs w:val="32"/>
        </w:rPr>
        <w:t>纵横向科研经费进账达5431.4万元，</w:t>
      </w:r>
      <w:r>
        <w:rPr>
          <w:rFonts w:ascii="仿宋" w:hAnsi="仿宋" w:eastAsia="仿宋"/>
          <w:color w:val="000000"/>
          <w:sz w:val="32"/>
          <w:szCs w:val="32"/>
        </w:rPr>
        <w:t>同比2021年增长超过四倍</w:t>
      </w:r>
      <w:r>
        <w:rPr>
          <w:rFonts w:hint="eastAsia" w:ascii="仿宋_GB2312" w:eastAsia="仿宋_GB2312"/>
          <w:sz w:val="32"/>
          <w:szCs w:val="32"/>
        </w:rPr>
        <w:t>。</w:t>
      </w:r>
      <w:r>
        <w:rPr>
          <w:rFonts w:hint="eastAsia" w:ascii="仿宋" w:hAnsi="仿宋" w:eastAsia="仿宋"/>
          <w:color w:val="000000" w:themeColor="text1"/>
          <w:sz w:val="32"/>
          <w:szCs w:val="32"/>
          <w14:textFill>
            <w14:solidFill>
              <w14:schemeClr w14:val="tx1"/>
            </w14:solidFill>
          </w14:textFill>
        </w:rPr>
        <w:t>首次获批湖北省专利转化项目立项，获资助经费70万元。</w:t>
      </w:r>
      <w:r>
        <w:rPr>
          <w:rFonts w:ascii="仿宋" w:hAnsi="仿宋" w:eastAsia="仿宋"/>
          <w:color w:val="000000"/>
          <w:sz w:val="32"/>
          <w:szCs w:val="32"/>
        </w:rPr>
        <w:t>12项智库成果得到省市领导签批、部门采纳应用，其中1项成果形成文件、纳入地方发展规划</w:t>
      </w:r>
      <w:r>
        <w:rPr>
          <w:rFonts w:hint="eastAsia" w:ascii="仿宋" w:hAnsi="仿宋" w:eastAsia="仿宋"/>
          <w:color w:val="000000"/>
          <w:sz w:val="32"/>
          <w:szCs w:val="32"/>
        </w:rPr>
        <w:t>。发表高水平论文30余</w:t>
      </w:r>
      <w:r>
        <w:rPr>
          <w:rFonts w:ascii="仿宋" w:hAnsi="仿宋" w:eastAsia="仿宋"/>
          <w:color w:val="000000"/>
          <w:sz w:val="32"/>
          <w:szCs w:val="32"/>
        </w:rPr>
        <w:t>篇</w:t>
      </w:r>
      <w:r>
        <w:rPr>
          <w:rFonts w:hint="eastAsia" w:ascii="仿宋" w:hAnsi="仿宋" w:eastAsia="仿宋"/>
          <w:color w:val="000000"/>
          <w:sz w:val="32"/>
          <w:szCs w:val="32"/>
        </w:rPr>
        <w:t>，</w:t>
      </w:r>
      <w:r>
        <w:rPr>
          <w:rFonts w:ascii="仿宋" w:hAnsi="仿宋" w:eastAsia="仿宋"/>
          <w:color w:val="000000"/>
          <w:sz w:val="32"/>
          <w:szCs w:val="32"/>
        </w:rPr>
        <w:t>《借鉴湖州经验 做大做强荆门块状经济》研究报告荣获湖北省优秀调研成果三等奖，是</w:t>
      </w:r>
      <w:r>
        <w:rPr>
          <w:rFonts w:hint="eastAsia" w:ascii="仿宋" w:hAnsi="仿宋" w:eastAsia="仿宋"/>
          <w:color w:val="000000"/>
          <w:sz w:val="32"/>
          <w:szCs w:val="32"/>
        </w:rPr>
        <w:t>学校首次获批</w:t>
      </w:r>
      <w:r>
        <w:rPr>
          <w:rFonts w:ascii="仿宋" w:hAnsi="仿宋" w:eastAsia="仿宋"/>
          <w:color w:val="000000"/>
          <w:sz w:val="32"/>
          <w:szCs w:val="32"/>
        </w:rPr>
        <w:t>该类奖项。</w:t>
      </w:r>
      <w:r>
        <w:rPr>
          <w:rFonts w:hint="eastAsia" w:ascii="仿宋" w:hAnsi="仿宋" w:eastAsia="仿宋"/>
          <w:color w:val="000000" w:themeColor="text1"/>
          <w:sz w:val="32"/>
          <w:szCs w:val="32"/>
          <w14:textFill>
            <w14:solidFill>
              <w14:schemeClr w14:val="tx1"/>
            </w14:solidFill>
          </w14:textFill>
        </w:rPr>
        <w:t>新增联合培养研究生导师4名，联培研究生导师达到60余人。新增联合培养研究生21人，实现“达标申硕”阶段性目标任务落地落实。《荆楚学刊》首获政府部门专项资金资助。</w:t>
      </w:r>
    </w:p>
    <w:p>
      <w:pPr>
        <w:spacing w:line="560" w:lineRule="exact"/>
        <w:ind w:firstLine="643" w:firstLineChars="200"/>
        <w:rPr>
          <w:rFonts w:ascii="仿宋_GB2312" w:eastAsia="仿宋_GB2312"/>
          <w:sz w:val="32"/>
          <w:szCs w:val="32"/>
        </w:rPr>
      </w:pPr>
      <w:r>
        <w:rPr>
          <w:rFonts w:hint="eastAsia" w:ascii="楷体" w:hAnsi="楷体" w:eastAsia="楷体"/>
          <w:b/>
          <w:sz w:val="32"/>
          <w:szCs w:val="32"/>
        </w:rPr>
        <w:t>四是</w:t>
      </w:r>
      <w:r>
        <w:rPr>
          <w:rFonts w:ascii="楷体" w:hAnsi="楷体" w:eastAsia="楷体"/>
          <w:b/>
          <w:sz w:val="32"/>
          <w:szCs w:val="32"/>
        </w:rPr>
        <w:t>人才队伍结构更加优化</w:t>
      </w:r>
      <w:r>
        <w:rPr>
          <w:rFonts w:hint="eastAsia" w:ascii="楷体" w:hAnsi="楷体" w:eastAsia="楷体"/>
          <w:b/>
          <w:sz w:val="32"/>
          <w:szCs w:val="32"/>
        </w:rPr>
        <w:t>。</w:t>
      </w:r>
      <w:r>
        <w:rPr>
          <w:rFonts w:hint="eastAsia" w:ascii="仿宋" w:hAnsi="仿宋" w:eastAsia="仿宋"/>
          <w:color w:val="000000" w:themeColor="text1"/>
          <w:sz w:val="32"/>
          <w:szCs w:val="32"/>
          <w14:textFill>
            <w14:solidFill>
              <w14:schemeClr w14:val="tx1"/>
            </w14:solidFill>
          </w14:textFill>
        </w:rPr>
        <w:t>以“队伍建设年”为抓手，实施“百人硕博引进工程”，全年引进博士11人，毕业返校博士7人，5人考取博士研究生，博士总量达到103人，在读博士53人；招聘硕士专任教师73人，专职辅导员32人，</w:t>
      </w:r>
      <w:r>
        <w:rPr>
          <w:rFonts w:hint="eastAsia" w:ascii="仿宋_GB2312" w:eastAsia="仿宋_GB2312"/>
          <w:sz w:val="32"/>
          <w:szCs w:val="32"/>
        </w:rPr>
        <w:t>进一步优化了教师队伍结构。</w:t>
      </w:r>
      <w:r>
        <w:rPr>
          <w:rFonts w:hint="eastAsia" w:ascii="仿宋" w:hAnsi="仿宋" w:eastAsia="仿宋"/>
          <w:color w:val="000000" w:themeColor="text1"/>
          <w:sz w:val="32"/>
          <w:szCs w:val="32"/>
          <w14:textFill>
            <w14:solidFill>
              <w14:schemeClr w14:val="tx1"/>
            </w14:solidFill>
          </w14:textFill>
        </w:rPr>
        <w:t>通过招转聘方式，马克思主义学院思政课教师师生比达到1：3</w:t>
      </w:r>
      <w:r>
        <w:rPr>
          <w:rFonts w:ascii="仿宋" w:hAnsi="仿宋" w:eastAsia="仿宋"/>
          <w:color w:val="000000" w:themeColor="text1"/>
          <w:sz w:val="32"/>
          <w:szCs w:val="32"/>
          <w14:textFill>
            <w14:solidFill>
              <w14:schemeClr w14:val="tx1"/>
            </w14:solidFill>
          </w14:textFill>
        </w:rPr>
        <w:t>50</w:t>
      </w:r>
      <w:r>
        <w:rPr>
          <w:rFonts w:hint="eastAsia" w:ascii="仿宋" w:hAnsi="仿宋" w:eastAsia="仿宋"/>
          <w:color w:val="000000" w:themeColor="text1"/>
          <w:sz w:val="32"/>
          <w:szCs w:val="32"/>
          <w14:textFill>
            <w14:solidFill>
              <w14:schemeClr w14:val="tx1"/>
            </w14:solidFill>
          </w14:textFill>
        </w:rPr>
        <w:t>。组织开展2022年度二级岗位人选推荐评审，推荐2人申报专业技术二级岗位。选聘专业技术三级岗位3人。李立威教授主持的化学制药工艺学工作室成功入选“湖北名师工作室”。新增产业教授</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名。出台《荆楚理工学院绩效工资分配办法》《荆楚理工学院高层次人才绩效发放办法（试行）》《荆楚理工学院教师开展博士后研究管理办法（试行）》，为人才发展提供了有力保障。出台《荆楚理工学院建立健全师德师风建设长效机制实施方案》等制度，</w:t>
      </w:r>
      <w:r>
        <w:rPr>
          <w:rFonts w:hint="eastAsia" w:ascii="仿宋_GB2312" w:eastAsia="仿宋_GB2312"/>
          <w:sz w:val="32"/>
          <w:szCs w:val="32"/>
        </w:rPr>
        <w:t>进一步加强师德师风建设。</w:t>
      </w:r>
    </w:p>
    <w:p>
      <w:pPr>
        <w:pStyle w:val="6"/>
        <w:spacing w:before="0" w:beforeAutospacing="0" w:after="0" w:afterAutospacing="0" w:line="560" w:lineRule="exact"/>
        <w:ind w:firstLine="643"/>
        <w:jc w:val="both"/>
        <w:rPr>
          <w:rFonts w:ascii="仿宋" w:hAnsi="仿宋" w:eastAsia="仿宋" w:cstheme="minorBidi"/>
          <w:color w:val="000000" w:themeColor="text1"/>
          <w:kern w:val="2"/>
          <w:sz w:val="32"/>
          <w:szCs w:val="32"/>
          <w14:textFill>
            <w14:solidFill>
              <w14:schemeClr w14:val="tx1"/>
            </w14:solidFill>
          </w14:textFill>
        </w:rPr>
      </w:pPr>
      <w:r>
        <w:rPr>
          <w:rFonts w:hint="eastAsia" w:ascii="楷体" w:hAnsi="楷体" w:eastAsia="楷体" w:cstheme="minorBidi"/>
          <w:b/>
          <w:kern w:val="2"/>
          <w:sz w:val="32"/>
          <w:szCs w:val="32"/>
        </w:rPr>
        <w:t>五是社会服务能力明显增强。</w:t>
      </w:r>
      <w:r>
        <w:rPr>
          <w:rFonts w:hint="eastAsia" w:ascii="仿宋" w:hAnsi="仿宋" w:eastAsia="仿宋" w:cstheme="minorBidi"/>
          <w:color w:val="000000" w:themeColor="text1"/>
          <w:kern w:val="2"/>
          <w:sz w:val="32"/>
          <w:szCs w:val="32"/>
          <w14:textFill>
            <w14:solidFill>
              <w14:schemeClr w14:val="tx1"/>
            </w14:solidFill>
          </w14:textFill>
        </w:rPr>
        <w:t>主动对接政府、企业，与荆门市、东宝区、高新区、钟祥市签订战略合作协议，</w:t>
      </w:r>
      <w:r>
        <w:rPr>
          <w:rFonts w:hint="eastAsia" w:ascii="仿宋_GB2312" w:eastAsia="仿宋_GB2312"/>
          <w:sz w:val="32"/>
          <w:szCs w:val="32"/>
        </w:rPr>
        <w:t>与中石化荆门分公司、湖北固润科技股份有限公司、湖北亿纬动力有限公司等多家重点企业签订合作协议，</w:t>
      </w:r>
      <w:r>
        <w:rPr>
          <w:rFonts w:hint="eastAsia" w:ascii="仿宋" w:hAnsi="仿宋" w:eastAsia="仿宋" w:cstheme="minorBidi"/>
          <w:color w:val="000000" w:themeColor="text1"/>
          <w:kern w:val="2"/>
          <w:sz w:val="32"/>
          <w:szCs w:val="32"/>
          <w14:textFill>
            <w14:solidFill>
              <w14:schemeClr w14:val="tx1"/>
            </w14:solidFill>
          </w14:textFill>
        </w:rPr>
        <w:t>制定《荆楚理工学院服务荆门“十条”》《荆楚理工学院服务地方经济发展实施方案》，与荆门市教育局共建荆楚理工学院附属小学、附属幼儿园。选派31名科技副总、科技特派员、优秀教师到政府部门挂职，组织教授、博士300余人次，深入省内184家企业，精准对接企业技术难题270余项，服务地方经济社会发展能力不断增强。深化产教融合，不断探索“产学研”协同创新的有效模式和机制，培育建设产业学院，组建产学共建班，与企业联合开发校企合作课程。</w:t>
      </w:r>
    </w:p>
    <w:p>
      <w:pPr>
        <w:spacing w:line="560" w:lineRule="exact"/>
        <w:ind w:firstLine="643" w:firstLineChars="200"/>
        <w:rPr>
          <w:rFonts w:ascii="仿宋_GB2312" w:eastAsia="仿宋_GB2312"/>
          <w:sz w:val="32"/>
          <w:szCs w:val="32"/>
        </w:rPr>
      </w:pPr>
      <w:r>
        <w:rPr>
          <w:rFonts w:hint="eastAsia" w:ascii="楷体" w:hAnsi="楷体" w:eastAsia="楷体"/>
          <w:b/>
          <w:sz w:val="32"/>
          <w:szCs w:val="32"/>
        </w:rPr>
        <w:t>六是办学保障能力和民生工程持续推进。</w:t>
      </w:r>
      <w:r>
        <w:rPr>
          <w:rFonts w:hint="eastAsia" w:ascii="仿宋" w:hAnsi="仿宋" w:eastAsia="仿宋"/>
          <w:color w:val="000000" w:themeColor="text1"/>
          <w:sz w:val="32"/>
          <w:szCs w:val="32"/>
          <w14:textFill>
            <w14:solidFill>
              <w14:schemeClr w14:val="tx1"/>
            </w14:solidFill>
          </w14:textFill>
        </w:rPr>
        <w:t>顺利召开四届一次两代会，完成换届选举工作。筹措资金提供财务保障， 2022年学校预算收入5</w:t>
      </w:r>
      <w:r>
        <w:rPr>
          <w:rFonts w:ascii="仿宋" w:hAnsi="仿宋" w:eastAsia="仿宋"/>
          <w:color w:val="000000" w:themeColor="text1"/>
          <w:sz w:val="32"/>
          <w:szCs w:val="32"/>
          <w14:textFill>
            <w14:solidFill>
              <w14:schemeClr w14:val="tx1"/>
            </w14:solidFill>
          </w14:textFill>
        </w:rPr>
        <w:t>.08</w:t>
      </w:r>
      <w:r>
        <w:rPr>
          <w:rFonts w:hint="eastAsia" w:ascii="仿宋" w:hAnsi="仿宋" w:eastAsia="仿宋"/>
          <w:color w:val="000000" w:themeColor="text1"/>
          <w:sz w:val="32"/>
          <w:szCs w:val="32"/>
          <w14:textFill>
            <w14:solidFill>
              <w14:schemeClr w14:val="tx1"/>
            </w14:solidFill>
          </w14:textFill>
        </w:rPr>
        <w:t>亿元，比上年增加0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69亿元，其中生均运行保障综合定额补助增长8.9%，争取政府债券资金增长50%。</w:t>
      </w:r>
      <w:r>
        <w:rPr>
          <w:rFonts w:ascii="仿宋" w:hAnsi="仿宋" w:eastAsia="仿宋"/>
          <w:color w:val="000000" w:themeColor="text1"/>
          <w:sz w:val="32"/>
          <w:szCs w:val="32"/>
          <w14:textFill>
            <w14:solidFill>
              <w14:schemeClr w14:val="tx1"/>
            </w14:solidFill>
          </w14:textFill>
        </w:rPr>
        <w:t>创新收费方式，学费收缴率达到96%</w:t>
      </w:r>
      <w:r>
        <w:rPr>
          <w:rFonts w:hint="eastAsia" w:ascii="仿宋" w:hAnsi="仿宋" w:eastAsia="仿宋"/>
          <w:color w:val="000000" w:themeColor="text1"/>
          <w:sz w:val="32"/>
          <w:szCs w:val="32"/>
          <w14:textFill>
            <w14:solidFill>
              <w14:schemeClr w14:val="tx1"/>
            </w14:solidFill>
          </w14:textFill>
        </w:rPr>
        <w:t>。加强专项资金预算执行进度管理，专项资金执行率达</w:t>
      </w:r>
      <w:r>
        <w:rPr>
          <w:rFonts w:ascii="仿宋" w:hAnsi="仿宋" w:eastAsia="仿宋"/>
          <w:color w:val="000000" w:themeColor="text1"/>
          <w:sz w:val="32"/>
          <w:szCs w:val="32"/>
          <w14:textFill>
            <w14:solidFill>
              <w14:schemeClr w14:val="tx1"/>
            </w14:solidFill>
          </w14:textFill>
        </w:rPr>
        <w:t>100</w:t>
      </w:r>
      <w:r>
        <w:rPr>
          <w:rFonts w:hint="eastAsia" w:ascii="仿宋" w:hAnsi="仿宋" w:eastAsia="仿宋"/>
          <w:color w:val="000000" w:themeColor="text1"/>
          <w:sz w:val="32"/>
          <w:szCs w:val="32"/>
          <w14:textFill>
            <w14:solidFill>
              <w14:schemeClr w14:val="tx1"/>
            </w14:solidFill>
          </w14:textFill>
        </w:rPr>
        <w:t>%。拟在高铁新城规划用地1000亩建新校区，先期征地500亩，拟新增原市博物馆、原龙泉玻璃厂和青山实业等土地55亩，办学空间进一步拓展。</w:t>
      </w:r>
      <w:r>
        <w:rPr>
          <w:rFonts w:hint="eastAsia" w:ascii="仿宋_GB2312" w:eastAsia="仿宋_GB2312"/>
          <w:sz w:val="32"/>
          <w:szCs w:val="32"/>
        </w:rPr>
        <w:t>新建医学教学实验实训中心和学生宿舍共4万多平方米，维修改造学生宿舍、运动场、图书馆、艺术大楼、南二门、中心广场等楼堂场馆</w:t>
      </w:r>
      <w:r>
        <w:rPr>
          <w:rFonts w:hint="eastAsia" w:ascii="仿宋" w:hAnsi="仿宋" w:eastAsia="仿宋"/>
          <w:color w:val="000000" w:themeColor="text1"/>
          <w:sz w:val="32"/>
          <w:szCs w:val="32"/>
          <w14:textFill>
            <w14:solidFill>
              <w14:schemeClr w14:val="tx1"/>
            </w14:solidFill>
          </w14:textFill>
        </w:rPr>
        <w:t>实施校园美化亮化工程，校园基础设施建设不断完善。</w:t>
      </w:r>
      <w:r>
        <w:rPr>
          <w:rFonts w:hint="eastAsia" w:ascii="仿宋_GB2312" w:eastAsia="仿宋_GB2312"/>
          <w:sz w:val="32"/>
          <w:szCs w:val="32"/>
        </w:rPr>
        <w:t>组织实施了2019-2022年聘期考核，充分发挥岗位聘用激励功能。加大工程审计监督力度，审减金额576.17万元。档案查询服务实现了从“亲自跑”“多次跑”到“零跑腿”的转变。动态调整了2022年绩效工资总量，比上年增加873.44万元。增加了未纳入养老保险的118名退休人员待遇，提高了教职工社保、住房公积金缴费基数和福利标准，师生归属感、幸福感进一步提升，“幸福荆楚理工”建设成果进一步显现。</w:t>
      </w:r>
    </w:p>
    <w:p>
      <w:pPr>
        <w:spacing w:line="560" w:lineRule="exact"/>
        <w:ind w:firstLine="643" w:firstLineChars="200"/>
        <w:rPr>
          <w:rFonts w:ascii="仿宋" w:hAnsi="仿宋" w:eastAsia="仿宋"/>
          <w:sz w:val="32"/>
          <w:szCs w:val="32"/>
        </w:rPr>
      </w:pPr>
      <w:r>
        <w:rPr>
          <w:rFonts w:hint="eastAsia" w:ascii="楷体" w:hAnsi="楷体" w:eastAsia="楷体"/>
          <w:b/>
          <w:sz w:val="32"/>
          <w:szCs w:val="32"/>
        </w:rPr>
        <w:t>七是党的建设工作全面加强。</w:t>
      </w:r>
      <w:r>
        <w:rPr>
          <w:rFonts w:hint="eastAsia" w:ascii="仿宋" w:hAnsi="仿宋" w:eastAsia="仿宋"/>
          <w:color w:val="000000" w:themeColor="text1"/>
          <w:sz w:val="32"/>
          <w:szCs w:val="32"/>
          <w14:textFill>
            <w14:solidFill>
              <w14:schemeClr w14:val="tx1"/>
            </w14:solidFill>
          </w14:textFill>
        </w:rPr>
        <w:t>始终坚持党对学校的全面领导，切实履行管党治党、办学治校主体责任，全力抓好省委巡视反馈意见集中整改，选人用人、意识形态两个专项巡视反馈意见已全部整改销号，党委巡视整改清单中的</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个未销号问题正在积极推进整改，持续推动全面从严治党向纵深发展。深入开展“下基层察民情解民忧暖民心”实践活动和“万名党员教师家校协同行动”，解决师生急难愁盼问题218个，700余名党员干部与学生“结对子”。顺利完成中层领导班子换届，选任处级干部51人。首次获批1个全省“党建工作标杆院系”和1个“党建工作样板支部”培育建设单位。严格贯彻落实意识形态工作责任制，坚持意识形态联席会议制度和巡听旁听制度。强化社会责任担当，选派优秀党员干部组成2个工作队分别前往沙洋县官垱镇石鼓村和恩施州咸丰县坪坝营镇老岩孔村助力乡村振兴。慎终如始抓好疫情防控，多措并举压实责任，成功应对国内数次多点散发疫情，维护了校园安全稳定。</w:t>
      </w:r>
      <w:r>
        <w:rPr>
          <w:rFonts w:hint="eastAsia" w:ascii="仿宋_GB2312" w:eastAsia="仿宋_GB2312"/>
          <w:sz w:val="32"/>
          <w:szCs w:val="32"/>
        </w:rPr>
        <w:t>全年没有发生校园安全责任事故，为学校发展夯实了安全稳定基石。</w:t>
      </w:r>
    </w:p>
    <w:p>
      <w:pPr>
        <w:pStyle w:val="6"/>
        <w:shd w:val="clear" w:color="auto" w:fill="FFFFFF"/>
        <w:spacing w:before="0" w:beforeAutospacing="0" w:after="0" w:afterAutospacing="0" w:line="560" w:lineRule="exact"/>
        <w:ind w:firstLine="645"/>
        <w:jc w:val="both"/>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各位代表，</w:t>
      </w:r>
      <w:r>
        <w:rPr>
          <w:rFonts w:hint="eastAsia" w:ascii="仿宋" w:hAnsi="仿宋" w:eastAsia="仿宋"/>
          <w:color w:val="000000" w:themeColor="text1"/>
          <w:sz w:val="32"/>
          <w:szCs w:val="32"/>
          <w14:textFill>
            <w14:solidFill>
              <w14:schemeClr w14:val="tx1"/>
            </w14:solidFill>
          </w14:textFill>
        </w:rPr>
        <w:t>过去一年取得的成绩，</w:t>
      </w:r>
      <w:r>
        <w:rPr>
          <w:rFonts w:ascii="仿宋" w:hAnsi="仿宋" w:eastAsia="仿宋"/>
          <w:color w:val="000000" w:themeColor="text1"/>
          <w:sz w:val="32"/>
          <w:szCs w:val="32"/>
          <w14:textFill>
            <w14:solidFill>
              <w14:schemeClr w14:val="tx1"/>
            </w14:solidFill>
          </w14:textFill>
        </w:rPr>
        <w:t>来之不易、成之惟艰</w:t>
      </w:r>
      <w:r>
        <w:rPr>
          <w:rFonts w:hint="eastAsia" w:ascii="仿宋" w:hAnsi="仿宋" w:eastAsia="仿宋"/>
          <w:color w:val="000000" w:themeColor="text1"/>
          <w:sz w:val="32"/>
          <w:szCs w:val="32"/>
          <w14:textFill>
            <w14:solidFill>
              <w14:schemeClr w14:val="tx1"/>
            </w14:solidFill>
          </w14:textFill>
        </w:rPr>
        <w:t>，这是省委、省政府坚强领导的结果，是省委教育工委、省教育厅关心指导的结果，是市委、市政府大力支持的结果，是广大校友和社会各界鼎力相助的结果，更是</w:t>
      </w:r>
      <w:r>
        <w:rPr>
          <w:rFonts w:ascii="仿宋" w:hAnsi="仿宋" w:eastAsia="仿宋"/>
          <w:color w:val="000000" w:themeColor="text1"/>
          <w:sz w:val="32"/>
          <w:szCs w:val="32"/>
          <w14:textFill>
            <w14:solidFill>
              <w14:schemeClr w14:val="tx1"/>
            </w14:solidFill>
          </w14:textFill>
        </w:rPr>
        <w:t>全校</w:t>
      </w:r>
      <w:r>
        <w:rPr>
          <w:rFonts w:hint="eastAsia" w:ascii="仿宋" w:hAnsi="仿宋" w:eastAsia="仿宋"/>
          <w:color w:val="000000" w:themeColor="text1"/>
          <w:sz w:val="32"/>
          <w:szCs w:val="32"/>
          <w14:textFill>
            <w14:solidFill>
              <w14:schemeClr w14:val="tx1"/>
            </w14:solidFill>
          </w14:textFill>
        </w:rPr>
        <w:t>师生</w:t>
      </w:r>
      <w:r>
        <w:rPr>
          <w:rFonts w:ascii="仿宋" w:hAnsi="仿宋" w:eastAsia="仿宋"/>
          <w:color w:val="000000" w:themeColor="text1"/>
          <w:sz w:val="32"/>
          <w:szCs w:val="32"/>
          <w14:textFill>
            <w14:solidFill>
              <w14:schemeClr w14:val="tx1"/>
            </w14:solidFill>
          </w14:textFill>
        </w:rPr>
        <w:t>员工一体同心、团结奋进、攻坚克难的结果</w:t>
      </w:r>
      <w:r>
        <w:rPr>
          <w:rFonts w:hint="eastAsia" w:ascii="仿宋" w:hAnsi="仿宋" w:eastAsia="仿宋"/>
          <w:color w:val="000000" w:themeColor="text1"/>
          <w:sz w:val="32"/>
          <w:szCs w:val="32"/>
          <w14:textFill>
            <w14:solidFill>
              <w14:schemeClr w14:val="tx1"/>
            </w14:solidFill>
          </w14:textFill>
        </w:rPr>
        <w:t>。借此机会，我代表学校党委和行政，向全体师生员工、广大校友、离退休老同志和社会各界人士，表示衷心的感谢，并致以崇高的敬意！</w:t>
      </w:r>
    </w:p>
    <w:p>
      <w:pPr>
        <w:widowControl/>
        <w:shd w:val="clear" w:color="auto" w:fill="FFFFFF"/>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习近平总书记指出：“前进道路不可能一帆风顺，越是取得成绩的时候，越是要有如履薄冰的谨慎，越是要有居安思危的忧患”。成绩面前，我们不能沾沾自喜，更不能固步自封。特别是在学校事业发展的关键时期，我们更要客观清醒地认识到当前仍然存在的问题和困难。一是人才培养质量、专业建设质量和内涵还需进一步提升。在专业建设、教学模式、课程体系、质量管理等教育教学关键领域的改革力度还不够，国家一流专业建设点只有一个，打造“金课”工作力度不足。二是办学</w:t>
      </w:r>
      <w:r>
        <w:rPr>
          <w:rFonts w:ascii="仿宋" w:hAnsi="仿宋" w:eastAsia="仿宋"/>
          <w:color w:val="000000" w:themeColor="text1"/>
          <w:sz w:val="32"/>
          <w:szCs w:val="32"/>
          <w14:textFill>
            <w14:solidFill>
              <w14:schemeClr w14:val="tx1"/>
            </w14:solidFill>
          </w14:textFill>
        </w:rPr>
        <w:t>经费不够充足</w:t>
      </w:r>
      <w:r>
        <w:rPr>
          <w:rFonts w:hint="eastAsia" w:ascii="仿宋" w:hAnsi="仿宋" w:eastAsia="仿宋"/>
          <w:color w:val="000000" w:themeColor="text1"/>
          <w:sz w:val="32"/>
          <w:szCs w:val="32"/>
          <w14:textFill>
            <w14:solidFill>
              <w14:schemeClr w14:val="tx1"/>
            </w14:solidFill>
          </w14:textFill>
        </w:rPr>
        <w:t>，资源统筹配置和科学利用的问题还需进一步破解，争取社会资源参与学校办学的渠道不够宽，</w:t>
      </w:r>
      <w:r>
        <w:rPr>
          <w:rFonts w:ascii="仿宋" w:hAnsi="仿宋" w:eastAsia="仿宋"/>
          <w:color w:val="000000" w:themeColor="text1"/>
          <w:sz w:val="32"/>
          <w:szCs w:val="32"/>
          <w14:textFill>
            <w14:solidFill>
              <w14:schemeClr w14:val="tx1"/>
            </w14:solidFill>
          </w14:textFill>
        </w:rPr>
        <w:t>办学条件还待进一步改善</w:t>
      </w:r>
      <w:r>
        <w:rPr>
          <w:rFonts w:hint="eastAsia" w:ascii="仿宋" w:hAnsi="仿宋" w:eastAsia="仿宋"/>
          <w:color w:val="000000" w:themeColor="text1"/>
          <w:sz w:val="32"/>
          <w:szCs w:val="32"/>
          <w14:textFill>
            <w14:solidFill>
              <w14:schemeClr w14:val="tx1"/>
            </w14:solidFill>
          </w14:textFill>
        </w:rPr>
        <w:t>。三是人才引进、稳定难度较大，</w:t>
      </w:r>
      <w:r>
        <w:rPr>
          <w:rFonts w:ascii="仿宋" w:hAnsi="仿宋" w:eastAsia="仿宋"/>
          <w:color w:val="000000" w:themeColor="text1"/>
          <w:sz w:val="32"/>
          <w:szCs w:val="32"/>
          <w14:textFill>
            <w14:solidFill>
              <w14:schemeClr w14:val="tx1"/>
            </w14:solidFill>
          </w14:textFill>
        </w:rPr>
        <w:t>师资队伍整体水平还</w:t>
      </w:r>
      <w:r>
        <w:rPr>
          <w:rFonts w:hint="eastAsia" w:ascii="仿宋" w:hAnsi="仿宋" w:eastAsia="仿宋"/>
          <w:color w:val="000000" w:themeColor="text1"/>
          <w:sz w:val="32"/>
          <w:szCs w:val="32"/>
          <w14:textFill>
            <w14:solidFill>
              <w14:schemeClr w14:val="tx1"/>
            </w14:solidFill>
          </w14:textFill>
        </w:rPr>
        <w:t>有待</w:t>
      </w:r>
      <w:r>
        <w:rPr>
          <w:rFonts w:ascii="仿宋" w:hAnsi="仿宋" w:eastAsia="仿宋"/>
          <w:color w:val="000000" w:themeColor="text1"/>
          <w:sz w:val="32"/>
          <w:szCs w:val="32"/>
          <w14:textFill>
            <w14:solidFill>
              <w14:schemeClr w14:val="tx1"/>
            </w14:solidFill>
          </w14:textFill>
        </w:rPr>
        <w:t>进一步提高</w:t>
      </w:r>
      <w:r>
        <w:rPr>
          <w:rFonts w:hint="eastAsia" w:ascii="仿宋" w:hAnsi="仿宋" w:eastAsia="仿宋"/>
          <w:color w:val="000000" w:themeColor="text1"/>
          <w:sz w:val="32"/>
          <w:szCs w:val="32"/>
          <w14:textFill>
            <w14:solidFill>
              <w14:schemeClr w14:val="tx1"/>
            </w14:solidFill>
          </w14:textFill>
        </w:rPr>
        <w:t>，高层次的领军人才和创新团队数量不足。四是学科优势和特色还不够突出、交叉融合力度不够，高水平创新团队引进、培育的建设成效不够，产学研一体化程度不高，市校合作仍然需要向纵深推进。对于这些问题，全校上下必须进一步增强危机意识和责任意识，大力弘扬自强不息、克难奋进的荆楚理工精神，全力推进和深化改革，着力打破制约发展的体制机制障碍，增强师生难题可解、困境可破、未来可期的坚定信心，以奋力推动学校各项事业高质量发展的生动实践，展示荆楚理工人的志气、骨气和底气。</w:t>
      </w:r>
    </w:p>
    <w:p>
      <w:pPr>
        <w:pStyle w:val="6"/>
        <w:shd w:val="clear" w:color="auto" w:fill="FFFFFF"/>
        <w:spacing w:before="0" w:beforeAutospacing="0" w:after="0" w:afterAutospacing="0" w:line="560" w:lineRule="exact"/>
        <w:ind w:firstLine="645"/>
        <w:jc w:val="both"/>
        <w:rPr>
          <w:rFonts w:ascii="黑体" w:hAnsi="黑体" w:eastAsia="黑体" w:cs="Arial"/>
          <w:color w:val="000000"/>
          <w:sz w:val="32"/>
          <w:szCs w:val="32"/>
        </w:rPr>
      </w:pPr>
      <w:r>
        <w:rPr>
          <w:rFonts w:hint="eastAsia" w:ascii="黑体" w:hAnsi="黑体" w:eastAsia="黑体" w:cs="Arial"/>
          <w:color w:val="000000"/>
          <w:sz w:val="32"/>
          <w:szCs w:val="32"/>
        </w:rPr>
        <w:t>二、2023年工作思路与目标要求</w:t>
      </w:r>
    </w:p>
    <w:p>
      <w:pPr>
        <w:widowControl/>
        <w:shd w:val="clear" w:color="auto" w:fill="FFFFFF"/>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年，是学校深入学习贯彻党的二十大精神开局之年，是实施“十四五”规划关键之年，我们要以习近平新时代中国特色社会主义思想为指导，</w:t>
      </w:r>
      <w:r>
        <w:rPr>
          <w:rFonts w:hint="eastAsia" w:ascii="仿宋_GB2312" w:hAnsi="仿宋_GB2312" w:eastAsia="仿宋_GB2312" w:cs="仿宋_GB2312"/>
          <w:snapToGrid w:val="0"/>
          <w:sz w:val="32"/>
          <w:szCs w:val="32"/>
        </w:rPr>
        <w:t>深入学习贯彻党的二十大和省第十二次党代会精神，</w:t>
      </w:r>
      <w:r>
        <w:rPr>
          <w:rFonts w:hint="eastAsia" w:ascii="仿宋" w:hAnsi="仿宋" w:eastAsia="仿宋"/>
          <w:color w:val="000000" w:themeColor="text1"/>
          <w:sz w:val="32"/>
          <w:szCs w:val="32"/>
          <w14:textFill>
            <w14:solidFill>
              <w14:schemeClr w14:val="tx1"/>
            </w14:solidFill>
          </w14:textFill>
        </w:rPr>
        <w:t>认真贯彻落实习近平总书记关于教育、科技、人才的重要论述，深刻认识“两个确立”的决定性意义，增强“四个意识”、坚定“四个自信”、做到“两个维护”，</w:t>
      </w:r>
      <w:r>
        <w:rPr>
          <w:rFonts w:hint="eastAsia" w:ascii="仿宋_GB2312" w:hAnsi="仿宋_GB2312" w:eastAsia="仿宋_GB2312" w:cs="仿宋_GB2312"/>
          <w:snapToGrid w:val="0"/>
          <w:sz w:val="32"/>
          <w:szCs w:val="32"/>
        </w:rPr>
        <w:t>坚持稳中求进工作总基调，全面落实</w:t>
      </w:r>
      <w:r>
        <w:rPr>
          <w:rFonts w:hint="eastAsia" w:ascii="仿宋" w:hAnsi="仿宋" w:eastAsia="仿宋"/>
          <w:color w:val="000000" w:themeColor="text1"/>
          <w:sz w:val="32"/>
          <w:szCs w:val="32"/>
          <w14:textFill>
            <w14:solidFill>
              <w14:schemeClr w14:val="tx1"/>
            </w14:solidFill>
          </w14:textFill>
        </w:rPr>
        <w:t>立德树人根本任务，以推动学校高质量发展为主题，以“审核评估”和“达标申硕”为重点，聚焦内涵建设与特色发展，全面深化改革，加强内涵建设，提升育人质量，加快特色鲜明的高水平应用型大学建设步伐。</w:t>
      </w:r>
    </w:p>
    <w:p>
      <w:pPr>
        <w:pStyle w:val="6"/>
        <w:shd w:val="clear" w:color="auto" w:fill="FFFFFF"/>
        <w:spacing w:before="0" w:beforeAutospacing="0" w:after="0" w:afterAutospacing="0" w:line="560" w:lineRule="exact"/>
        <w:ind w:firstLine="645"/>
        <w:jc w:val="both"/>
        <w:rPr>
          <w:rFonts w:ascii="楷体" w:hAnsi="楷体" w:eastAsia="楷体" w:cstheme="minorBidi"/>
          <w:kern w:val="2"/>
        </w:rPr>
      </w:pPr>
      <w:r>
        <w:rPr>
          <w:rFonts w:hint="eastAsia" w:ascii="楷体" w:hAnsi="楷体" w:eastAsia="楷体" w:cstheme="minorBidi"/>
          <w:b/>
          <w:kern w:val="2"/>
          <w:sz w:val="32"/>
          <w:szCs w:val="32"/>
        </w:rPr>
        <w:t>（一）坚持和加强党的领导，奋力实施“党建引领工程”</w:t>
      </w:r>
    </w:p>
    <w:p>
      <w:pPr>
        <w:widowControl/>
        <w:shd w:val="clear" w:color="auto" w:fill="FFFFFF"/>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坚持以党的政治建设为统领，全面学习宣传贯彻习近平新时代中国特色社会主义思想和党的二十大精神，强力推进政治建设责任制有效落实。持续巩固、深化政治生态建设成效，教育引导全校各级党组织和广大党员站稳政治立场、坚定政治方向、坚守政治原则，善于从政治上分析和研究问题、谋划和推动工作，不断提高政治判断力、政治领悟力、政治执行力，切实把拥护“两个确立”、做到“两个维护”内化于心落实于行。</w:t>
      </w:r>
    </w:p>
    <w:p>
      <w:pPr>
        <w:widowControl/>
        <w:shd w:val="clear" w:color="auto" w:fill="FFFFFF"/>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完善党建工作体系。以党建“五四三二一”工程为主线，打造党建工作特色品牌。进一步落实党内联系制度、党建联系点、书记抓党建述职评议考核制度。加大样板支部培育力度，抓实支部书记培训，加强干部队伍素质能力建设，提升基层党组织规范化建设水平，深入践行新时代党的组织路线，推进基层组织建设全面进步全面过硬。</w:t>
      </w:r>
    </w:p>
    <w:p>
      <w:pPr>
        <w:widowControl/>
        <w:shd w:val="clear" w:color="auto" w:fill="FFFFFF"/>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推动统战工作守正创新。推进筑牢中华民族共同体意识研究基地建设，加大统战工作理论研究，培育统战工作特色项目，争创省级民族团结进步示范高校。切实发挥好统一战线法宝作用，凝聚各民主党派和无党派人士智慧力量，形成最大“公约数”，绘就最大“同心圆”。用心用情，精准服务离退休教职工。</w:t>
      </w:r>
    </w:p>
    <w:p>
      <w:pPr>
        <w:widowControl/>
        <w:shd w:val="clear" w:color="auto" w:fill="FFFFFF"/>
        <w:spacing w:line="56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推动思想政治工作落实落细。深入推进落实理论武装立心、意识形态固本、舆论宣传助力、核心价值立德、文化精品育人、思政教育铸魂等六大举措。牢牢把握政治方向、舆论导向和意识形态领域领导权、管理权、话语权，巩固壮大主流思想舆论，构建完善的思想政治工作体系。推进新时代马克思主义学院建设，深化新时代思想政治理论课改革创新，加快构建“大思政课”格局。</w:t>
      </w:r>
    </w:p>
    <w:p>
      <w:pPr>
        <w:widowControl/>
        <w:shd w:val="clear" w:color="auto" w:fill="FFFFFF"/>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推动全面从严治党向纵深发展，构建全面从严治党体系。强化监督职责，践行“两个维护”，压实全面从严治党主体责任落地生根。把严的基调、严的措施、严的氛围长期坚持下去，持续释放执纪问责高压态势，一体推进“三不腐”。深化纪检监察体制改革，完善党内监督体系，深化对“一把手”和领导班子的监督，锲而不舍纠“四风”树新风，努力营造风清气正的政治生态。</w:t>
      </w:r>
    </w:p>
    <w:p>
      <w:pPr>
        <w:pStyle w:val="6"/>
        <w:shd w:val="clear" w:color="auto" w:fill="FFFFFF"/>
        <w:spacing w:before="0" w:beforeAutospacing="0" w:after="0" w:afterAutospacing="0" w:line="560" w:lineRule="exact"/>
        <w:ind w:firstLine="645"/>
        <w:jc w:val="both"/>
        <w:rPr>
          <w:rFonts w:ascii="楷体" w:hAnsi="楷体" w:eastAsia="楷体" w:cstheme="minorBidi"/>
          <w:b/>
          <w:kern w:val="2"/>
          <w:sz w:val="32"/>
          <w:szCs w:val="32"/>
        </w:rPr>
      </w:pPr>
      <w:r>
        <w:rPr>
          <w:rFonts w:hint="eastAsia" w:ascii="楷体" w:hAnsi="楷体" w:eastAsia="楷体" w:cstheme="minorBidi"/>
          <w:b/>
          <w:kern w:val="2"/>
          <w:sz w:val="32"/>
          <w:szCs w:val="32"/>
        </w:rPr>
        <w:t>（二）稳步提高人才培养质量，奋力实施“质量强本工程”</w:t>
      </w:r>
    </w:p>
    <w:p>
      <w:pPr>
        <w:widowControl/>
        <w:shd w:val="clear" w:color="auto" w:fill="FFFFFF"/>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theme="minorBidi"/>
          <w:bCs/>
          <w:kern w:val="2"/>
          <w:sz w:val="32"/>
          <w:szCs w:val="32"/>
        </w:rPr>
        <w:t>持续推进人才培养改革。继续深化“1</w:t>
      </w:r>
      <w:r>
        <w:rPr>
          <w:rFonts w:ascii="仿宋" w:hAnsi="仿宋" w:eastAsia="仿宋" w:cstheme="minorBidi"/>
          <w:bCs/>
          <w:kern w:val="2"/>
          <w:sz w:val="32"/>
          <w:szCs w:val="32"/>
        </w:rPr>
        <w:t>234</w:t>
      </w:r>
      <w:r>
        <w:rPr>
          <w:rFonts w:hint="eastAsia" w:ascii="仿宋" w:hAnsi="仿宋" w:eastAsia="仿宋" w:cstheme="minorBidi"/>
          <w:bCs/>
          <w:kern w:val="2"/>
          <w:sz w:val="32"/>
          <w:szCs w:val="32"/>
        </w:rPr>
        <w:t>”个性化人才培养改革，加大个性化课程资源供给，扩大辅修、第二学士学位招生规模，</w:t>
      </w:r>
      <w:r>
        <w:rPr>
          <w:rFonts w:hint="eastAsia" w:ascii="仿宋" w:hAnsi="仿宋" w:eastAsia="仿宋" w:cstheme="minorBidi"/>
          <w:bCs/>
          <w:kern w:val="2"/>
          <w:sz w:val="32"/>
          <w:szCs w:val="32"/>
          <w:lang w:val="en-US" w:eastAsia="zh-CN"/>
        </w:rPr>
        <w:t>加强拔尖人才培养力度，</w:t>
      </w:r>
      <w:r>
        <w:rPr>
          <w:rFonts w:hint="eastAsia" w:ascii="仿宋" w:hAnsi="仿宋" w:eastAsia="仿宋" w:cstheme="minorBidi"/>
          <w:bCs/>
          <w:kern w:val="2"/>
          <w:sz w:val="32"/>
          <w:szCs w:val="32"/>
        </w:rPr>
        <w:t>着力培养复合型应用型人才。</w:t>
      </w:r>
      <w:r>
        <w:rPr>
          <w:rFonts w:hint="eastAsia" w:ascii="仿宋" w:hAnsi="仿宋" w:eastAsia="仿宋"/>
          <w:color w:val="000000" w:themeColor="text1"/>
          <w:sz w:val="32"/>
          <w:szCs w:val="32"/>
          <w14:textFill>
            <w14:solidFill>
              <w14:schemeClr w14:val="tx1"/>
            </w14:solidFill>
          </w14:textFill>
        </w:rPr>
        <w:t>坚持“五育并举”，大力办好思政课，建设课程思政教学研究中心，继续开展课程思政示范课程、案例和优秀教师评选活动，健全完善课程思政育人模式，使各类课程与思政课程同向同行，全面推动课程思政建设提档升级。</w:t>
      </w:r>
      <w:r>
        <w:rPr>
          <w:rFonts w:hint="eastAsia" w:ascii="仿宋" w:hAnsi="仿宋" w:eastAsia="仿宋" w:cstheme="minorBidi"/>
          <w:color w:val="000000" w:themeColor="text1"/>
          <w:sz w:val="32"/>
          <w:szCs w:val="32"/>
          <w14:textFill>
            <w14:solidFill>
              <w14:schemeClr w14:val="tx1"/>
            </w14:solidFill>
          </w14:textFill>
        </w:rPr>
        <w:t>完善“健康知识+基本运动技能+专项运动技能”的学校体育教学模式，</w:t>
      </w:r>
      <w:r>
        <w:rPr>
          <w:rFonts w:hint="eastAsia" w:ascii="仿宋" w:hAnsi="仿宋" w:eastAsia="仿宋"/>
          <w:bCs/>
          <w:color w:val="000000" w:themeColor="text1"/>
          <w:sz w:val="32"/>
          <w:szCs w:val="32"/>
          <w14:textFill>
            <w14:solidFill>
              <w14:schemeClr w14:val="tx1"/>
            </w14:solidFill>
          </w14:textFill>
        </w:rPr>
        <w:t>健全体质健康测试制度，发展</w:t>
      </w:r>
      <w:r>
        <w:rPr>
          <w:rFonts w:hint="eastAsia" w:ascii="仿宋" w:hAnsi="仿宋" w:eastAsia="仿宋" w:cstheme="minorBidi"/>
          <w:color w:val="000000" w:themeColor="text1"/>
          <w:sz w:val="32"/>
          <w:szCs w:val="32"/>
          <w14:textFill>
            <w14:solidFill>
              <w14:schemeClr w14:val="tx1"/>
            </w14:solidFill>
          </w14:textFill>
        </w:rPr>
        <w:t>体育品牌项目，高质量举办第十四届运动</w:t>
      </w:r>
      <w:r>
        <w:rPr>
          <w:rFonts w:hint="eastAsia" w:ascii="仿宋" w:hAnsi="仿宋" w:eastAsia="仿宋"/>
          <w:bCs/>
          <w:color w:val="000000" w:themeColor="text1"/>
          <w:sz w:val="32"/>
          <w:szCs w:val="32"/>
          <w14:textFill>
            <w14:solidFill>
              <w14:schemeClr w14:val="tx1"/>
            </w14:solidFill>
          </w14:textFill>
        </w:rPr>
        <w:t>会。</w:t>
      </w:r>
      <w:r>
        <w:rPr>
          <w:rFonts w:hint="eastAsia" w:ascii="仿宋" w:hAnsi="仿宋" w:eastAsia="仿宋" w:cstheme="minorBidi"/>
          <w:color w:val="000000" w:themeColor="text1"/>
          <w:sz w:val="32"/>
          <w:szCs w:val="32"/>
          <w14:textFill>
            <w14:solidFill>
              <w14:schemeClr w14:val="tx1"/>
            </w14:solidFill>
          </w14:textFill>
        </w:rPr>
        <w:t>推进美育中心建设，</w:t>
      </w:r>
      <w:r>
        <w:rPr>
          <w:rFonts w:hint="eastAsia" w:ascii="仿宋" w:hAnsi="仿宋" w:eastAsia="仿宋"/>
          <w:color w:val="000000" w:themeColor="text1"/>
          <w:sz w:val="32"/>
          <w:szCs w:val="32"/>
          <w14:textFill>
            <w14:solidFill>
              <w14:schemeClr w14:val="tx1"/>
            </w14:solidFill>
          </w14:textFill>
        </w:rPr>
        <w:t>完善公共艺术课程教学、艺术实践、校园文化活动、艺术展演“四位一体”的美育教育推进机制。建立劳动教育台账，做实做细劳动实践教育和耕读教育。</w:t>
      </w:r>
    </w:p>
    <w:p>
      <w:pPr>
        <w:pStyle w:val="6"/>
        <w:adjustRightInd w:val="0"/>
        <w:snapToGrid w:val="0"/>
        <w:spacing w:before="0" w:beforeAutospacing="0" w:after="0" w:afterAutospacing="0" w:line="560" w:lineRule="exact"/>
        <w:ind w:firstLine="640" w:firstLineChars="200"/>
        <w:jc w:val="both"/>
        <w:rPr>
          <w:rFonts w:ascii="仿宋" w:hAnsi="仿宋" w:eastAsia="仿宋"/>
          <w:color w:val="FF0000"/>
          <w:sz w:val="32"/>
          <w:szCs w:val="32"/>
        </w:rPr>
      </w:pPr>
      <w:r>
        <w:rPr>
          <w:rFonts w:hint="eastAsia" w:ascii="仿宋" w:hAnsi="仿宋" w:eastAsia="仿宋"/>
          <w:color w:val="000000" w:themeColor="text1"/>
          <w:sz w:val="32"/>
          <w:szCs w:val="32"/>
          <w14:textFill>
            <w14:solidFill>
              <w14:schemeClr w14:val="tx1"/>
            </w14:solidFill>
          </w14:textFill>
        </w:rPr>
        <w:t>深度强化专业建设。对接产业链创新链，优化调整学科专业布局，争取新增1～</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个“四新”专业，适当调停部分专业，保有本科专业4</w:t>
      </w: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个。持续加强1</w:t>
      </w: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个一流专业建设点内涵建设，同步推进工程教育认证、师范专业认证和医学专业认证，力争学前教育专业2</w:t>
      </w:r>
      <w:r>
        <w:rPr>
          <w:rFonts w:ascii="仿宋" w:hAnsi="仿宋" w:eastAsia="仿宋"/>
          <w:color w:val="000000" w:themeColor="text1"/>
          <w:sz w:val="32"/>
          <w:szCs w:val="32"/>
          <w14:textFill>
            <w14:solidFill>
              <w14:schemeClr w14:val="tx1"/>
            </w14:solidFill>
          </w14:textFill>
        </w:rPr>
        <w:t>023</w:t>
      </w:r>
      <w:r>
        <w:rPr>
          <w:rFonts w:hint="eastAsia" w:ascii="仿宋" w:hAnsi="仿宋" w:eastAsia="仿宋"/>
          <w:color w:val="000000" w:themeColor="text1"/>
          <w:sz w:val="32"/>
          <w:szCs w:val="32"/>
          <w14:textFill>
            <w14:solidFill>
              <w14:schemeClr w14:val="tx1"/>
            </w14:solidFill>
          </w14:textFill>
        </w:rPr>
        <w:t>年下半年迎接入校考查。深化课程体系改革，做好国家级一流课程的申报工作。继续投入资金加强数字资源建设，推进国家智慧教育平台和学校智慧教育平台使用，大力倡导混合式教学模式，不断提升教学质量。</w:t>
      </w:r>
    </w:p>
    <w:p>
      <w:pPr>
        <w:pStyle w:val="6"/>
        <w:adjustRightInd w:val="0"/>
        <w:snapToGrid w:val="0"/>
        <w:spacing w:before="0" w:beforeAutospacing="0" w:after="0" w:afterAutospacing="0" w:line="560" w:lineRule="exact"/>
        <w:ind w:firstLine="640" w:firstLineChars="200"/>
        <w:jc w:val="both"/>
        <w:rPr>
          <w:rFonts w:ascii="仿宋" w:hAnsi="仿宋" w:eastAsia="仿宋"/>
          <w:bCs/>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扎实推进教风学风建设。充分发挥教学工作目标考核和教风学风建设考核的杠杆作用，严格落实《荆楚理工学院关于加强新时代教风学风建设的实施意见》，制定任务清单继续实施“以学为中心、以教为主导”的课堂教学改革和过程性考核与结果性考核有机结合的学业评价改革。</w:t>
      </w:r>
      <w:r>
        <w:rPr>
          <w:rFonts w:hint="eastAsia" w:ascii="仿宋" w:hAnsi="仿宋" w:eastAsia="仿宋"/>
          <w:sz w:val="32"/>
          <w:szCs w:val="32"/>
        </w:rPr>
        <w:t>扎实开展</w:t>
      </w:r>
      <w:r>
        <w:rPr>
          <w:rFonts w:hint="eastAsia" w:ascii="仿宋" w:hAnsi="仿宋" w:eastAsia="仿宋"/>
          <w:color w:val="000000" w:themeColor="text1"/>
          <w:sz w:val="32"/>
          <w:szCs w:val="32"/>
          <w14:textFill>
            <w14:solidFill>
              <w14:schemeClr w14:val="tx1"/>
            </w14:solidFill>
          </w14:textFill>
        </w:rPr>
        <w:t>学业导师工作，加强导师工作的督导和考评。继续加大考研奖励力度，持续开展学业预警，</w:t>
      </w:r>
      <w:r>
        <w:rPr>
          <w:rFonts w:hint="eastAsia" w:ascii="仿宋" w:hAnsi="仿宋" w:eastAsia="仿宋"/>
          <w:sz w:val="32"/>
          <w:szCs w:val="32"/>
        </w:rPr>
        <w:t>坚持学业性留（降）级、退学制度不松懈，</w:t>
      </w:r>
      <w:r>
        <w:rPr>
          <w:rFonts w:hint="eastAsia" w:ascii="仿宋" w:hAnsi="仿宋" w:eastAsia="仿宋"/>
          <w:color w:val="000000" w:themeColor="text1"/>
          <w:sz w:val="32"/>
          <w:szCs w:val="32"/>
          <w14:textFill>
            <w14:solidFill>
              <w14:schemeClr w14:val="tx1"/>
            </w14:solidFill>
          </w14:textFill>
        </w:rPr>
        <w:t>引导学生把主要精力放在学习上。</w:t>
      </w:r>
    </w:p>
    <w:p>
      <w:pPr>
        <w:widowControl/>
        <w:shd w:val="clear" w:color="auto" w:fill="FFFFFF"/>
        <w:adjustRightInd w:val="0"/>
        <w:snapToGrid w:val="0"/>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全面推进审核评估迎评促建。出台本科教育教学审核评估迎评促建工作方案，对标对表客观分析学校教育教学工作状况，分解落实迎评任务，坚持问题导向，建立问题整改清单和工作台账，全面推进审核评估迎评促建。</w:t>
      </w:r>
    </w:p>
    <w:p>
      <w:pPr>
        <w:widowControl/>
        <w:shd w:val="clear" w:color="auto" w:fill="FFFFFF"/>
        <w:adjustRightInd w:val="0"/>
        <w:snapToGrid w:val="0"/>
        <w:spacing w:line="56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着力提升教师教育教学能力。结合审核评估和产教融合两大主题，深入开展教学研究和教学改革，积极申报湖北省高水平本科教育建设工程项目。瞄准新修订的《湖北省教学成果奖励办法》，启动新一轮教学成果奖的培育孵化工作。发挥教师教学发展中心作用，推动教育数字化转型背景下的教师研、训、赛工作，全年教师线上线下培训项目不少于1</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项，力争在省高校教师教学创新大赛和省高校青年教师教学竞赛取得二等及以上奖项。</w:t>
      </w:r>
    </w:p>
    <w:p>
      <w:pPr>
        <w:widowControl/>
        <w:shd w:val="clear" w:color="auto" w:fill="FFFFFF"/>
        <w:adjustRightInd w:val="0"/>
        <w:snapToGrid w:val="0"/>
        <w:spacing w:line="56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深化“三全育人”综合改革</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推进“一站式”学生社区建设</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让社区与学生寝室融为一体，做到让学生“少跑路、解难题”，打通社区育人的“最后一公里”。深化“一院一品”“一月一品”等品牌创建内涵，创建2个有影响力的校园文化新品牌</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加强大学生心理健康教育</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健全心理健康</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校—院—班—寝</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四级网络体系，创新心理健康教育活动形式及服务模式</w:t>
      </w:r>
      <w:r>
        <w:rPr>
          <w:rFonts w:hint="eastAsia" w:ascii="仿宋" w:hAnsi="仿宋" w:eastAsia="仿宋"/>
          <w:color w:val="000000" w:themeColor="text1"/>
          <w:sz w:val="32"/>
          <w:szCs w:val="32"/>
          <w:lang w:eastAsia="zh-CN"/>
          <w14:textFill>
            <w14:solidFill>
              <w14:schemeClr w14:val="tx1"/>
            </w14:solidFill>
          </w14:textFill>
        </w:rPr>
        <w:t>。</w:t>
      </w:r>
    </w:p>
    <w:p>
      <w:pPr>
        <w:widowControl/>
        <w:shd w:val="clear" w:color="auto" w:fill="FFFFFF"/>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提升生源质量夯实就业创业工作。加大招生宣传力度，统筹线上线下招生宣传工作，坚持质量导向，科学编制年招生计划。落实学院主体责任，促进毕业生充分就业高质量就业</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进一步提高毕业生留荆就业人数</w:t>
      </w:r>
      <w:r>
        <w:rPr>
          <w:rFonts w:hint="eastAsia" w:ascii="仿宋" w:hAnsi="仿宋" w:eastAsia="仿宋"/>
          <w:color w:val="000000" w:themeColor="text1"/>
          <w:sz w:val="32"/>
          <w:szCs w:val="32"/>
          <w14:textFill>
            <w14:solidFill>
              <w14:schemeClr w14:val="tx1"/>
            </w14:solidFill>
          </w14:textFill>
        </w:rPr>
        <w:t>。加强创业园管理和建设，提升孵化效率，力争获批国家级创业孵化示范基地。</w:t>
      </w:r>
    </w:p>
    <w:p>
      <w:pPr>
        <w:pStyle w:val="6"/>
        <w:shd w:val="clear" w:color="auto" w:fill="FFFFFF"/>
        <w:spacing w:before="0" w:beforeAutospacing="0" w:after="0" w:afterAutospacing="0" w:line="560" w:lineRule="exact"/>
        <w:ind w:firstLine="645"/>
        <w:jc w:val="both"/>
        <w:rPr>
          <w:rFonts w:ascii="楷体" w:hAnsi="楷体" w:eastAsia="楷体" w:cstheme="minorBidi"/>
          <w:b/>
          <w:kern w:val="2"/>
          <w:sz w:val="32"/>
          <w:szCs w:val="32"/>
        </w:rPr>
      </w:pPr>
      <w:r>
        <w:rPr>
          <w:rFonts w:hint="eastAsia" w:ascii="楷体" w:hAnsi="楷体" w:eastAsia="楷体" w:cstheme="minorBidi"/>
          <w:b/>
          <w:kern w:val="2"/>
          <w:sz w:val="32"/>
          <w:szCs w:val="32"/>
        </w:rPr>
        <w:t>（三）持续强化科研和学科工作，奋力实施“学科建设工程”</w:t>
      </w:r>
    </w:p>
    <w:p>
      <w:pPr>
        <w:widowControl/>
        <w:shd w:val="clear" w:color="auto" w:fill="FFFFFF"/>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聚焦高质量发展，加强重大科技成果谋划和培育。严把国家基金项目申报质量关，力争国家基金项目各获批1-2项，国家艺术基金实现“零”的突破，省部级以上项目立项数量达到20项以上。</w:t>
      </w:r>
    </w:p>
    <w:p>
      <w:pPr>
        <w:widowControl/>
        <w:shd w:val="clear" w:color="auto" w:fill="FFFFFF"/>
        <w:spacing w:line="560" w:lineRule="exact"/>
        <w:ind w:firstLine="640" w:firstLineChars="200"/>
        <w:rPr>
          <w:rFonts w:ascii="仿宋" w:hAnsi="仿宋" w:eastAsia="仿宋"/>
          <w:sz w:val="32"/>
          <w:szCs w:val="32"/>
        </w:rPr>
      </w:pPr>
      <w:r>
        <w:rPr>
          <w:rFonts w:hint="eastAsia" w:ascii="仿宋" w:hAnsi="仿宋" w:eastAsia="仿宋"/>
          <w:color w:val="000000"/>
          <w:sz w:val="32"/>
          <w:szCs w:val="32"/>
        </w:rPr>
        <w:t>实施高质量服务，加大校政行企深度对接力度。</w:t>
      </w:r>
      <w:r>
        <w:rPr>
          <w:rFonts w:hint="eastAsia" w:ascii="仿宋" w:hAnsi="仿宋" w:eastAsia="仿宋"/>
          <w:sz w:val="32"/>
          <w:szCs w:val="32"/>
        </w:rPr>
        <w:t>与政府、行业、企业建立长效联通机制，围绕地方产业特点和需求，结合学校学科专业建设，加强</w:t>
      </w:r>
      <w:r>
        <w:rPr>
          <w:rFonts w:hint="eastAsia" w:ascii="仿宋" w:hAnsi="仿宋" w:eastAsia="仿宋"/>
          <w:kern w:val="0"/>
          <w:sz w:val="32"/>
          <w:szCs w:val="32"/>
        </w:rPr>
        <w:t>应用型科研团队建设，有组织的</w:t>
      </w:r>
      <w:r>
        <w:rPr>
          <w:rFonts w:hint="eastAsia" w:ascii="仿宋" w:hAnsi="仿宋" w:eastAsia="仿宋"/>
          <w:sz w:val="32"/>
          <w:szCs w:val="32"/>
        </w:rPr>
        <w:t>开展科研对接活动，争取横向科研经费达到硕士学位点建设目标预定经费指标，</w:t>
      </w:r>
      <w:r>
        <w:rPr>
          <w:rFonts w:hint="eastAsia" w:ascii="仿宋" w:hAnsi="仿宋" w:eastAsia="仿宋"/>
          <w:color w:val="000000"/>
          <w:sz w:val="32"/>
          <w:szCs w:val="32"/>
        </w:rPr>
        <w:t>实现横向到账经费“量”与“质”双提升。健全期刊管理，推进《荆楚学刊》《荆楚理工学院学报》两刊差异化发展，提升期刊影响力。</w:t>
      </w:r>
    </w:p>
    <w:p>
      <w:pPr>
        <w:widowControl/>
        <w:shd w:val="clear" w:color="auto" w:fill="FFFFFF"/>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打造高质量平台，不断夯实科研创新基地建设。推动每个二级院部建设1个对外展示科研成果与实力的科研基地。推进湖北省荆门产业技术研究院建设，引导科研团队入驻荆楚科创城，建设学校科技园。推进“科创中国”创新基地、专利转移转化中心、</w:t>
      </w:r>
      <w:r>
        <w:rPr>
          <w:rFonts w:hint="eastAsia" w:ascii="仿宋" w:hAnsi="仿宋" w:eastAsia="仿宋"/>
          <w:sz w:val="32"/>
          <w:szCs w:val="32"/>
        </w:rPr>
        <w:t>海智计划湖北（荆门）工作基地、</w:t>
      </w:r>
      <w:r>
        <w:rPr>
          <w:rFonts w:hint="eastAsia" w:ascii="仿宋" w:hAnsi="仿宋" w:eastAsia="仿宋"/>
          <w:color w:val="000000"/>
          <w:sz w:val="32"/>
          <w:szCs w:val="32"/>
        </w:rPr>
        <w:t>荆楚文化研究中心及展示中心、乡村教师发展研究中心基地建设，争取新增1-2个省级平台。</w:t>
      </w:r>
    </w:p>
    <w:p>
      <w:pPr>
        <w:pStyle w:val="6"/>
        <w:shd w:val="clear" w:color="auto" w:fill="FFFFFF"/>
        <w:spacing w:before="0" w:beforeAutospacing="0" w:after="0" w:afterAutospacing="0" w:line="560" w:lineRule="exact"/>
        <w:ind w:firstLine="645"/>
        <w:jc w:val="both"/>
        <w:rPr>
          <w:rFonts w:ascii="仿宋" w:hAnsi="仿宋" w:eastAsia="仿宋"/>
          <w:color w:val="000000"/>
          <w:sz w:val="32"/>
          <w:szCs w:val="32"/>
        </w:rPr>
      </w:pPr>
      <w:r>
        <w:rPr>
          <w:rFonts w:hint="eastAsia" w:ascii="仿宋" w:hAnsi="仿宋" w:eastAsia="仿宋"/>
          <w:color w:val="000000"/>
          <w:sz w:val="32"/>
          <w:szCs w:val="32"/>
        </w:rPr>
        <w:t>培育高质量学科，深入推进学位点对标建设。进一步优化学科资源，完善学科建设机制，制定实施办法及考核标准，指导学科群、校级重点学科制定科学的建设计划，积极培育突破点。深入推进联合培养硕士研究生工作，对接具有优质资源的院校，拓展联合培养硕士研究生渠道。</w:t>
      </w:r>
    </w:p>
    <w:p>
      <w:pPr>
        <w:pStyle w:val="6"/>
        <w:shd w:val="clear" w:color="auto" w:fill="FFFFFF"/>
        <w:spacing w:before="0" w:beforeAutospacing="0" w:after="0" w:afterAutospacing="0" w:line="560" w:lineRule="exact"/>
        <w:ind w:firstLine="645"/>
        <w:jc w:val="both"/>
        <w:rPr>
          <w:rFonts w:ascii="楷体" w:hAnsi="楷体" w:eastAsia="楷体" w:cstheme="minorBidi"/>
          <w:b/>
          <w:kern w:val="2"/>
          <w:sz w:val="32"/>
          <w:szCs w:val="32"/>
        </w:rPr>
      </w:pPr>
      <w:r>
        <w:rPr>
          <w:rFonts w:hint="eastAsia" w:ascii="楷体" w:hAnsi="楷体" w:eastAsia="楷体" w:cstheme="minorBidi"/>
          <w:b/>
          <w:kern w:val="2"/>
          <w:sz w:val="32"/>
          <w:szCs w:val="32"/>
        </w:rPr>
        <w:t>（四）持续扩大对外交流合作，奋力实施“开放协同工程”</w:t>
      </w:r>
    </w:p>
    <w:p>
      <w:pPr>
        <w:widowControl/>
        <w:shd w:val="clear" w:color="auto" w:fill="FFFFFF"/>
        <w:spacing w:line="56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强化产教融合</w:t>
      </w:r>
      <w:r>
        <w:rPr>
          <w:rFonts w:hint="eastAsia" w:ascii="仿宋" w:hAnsi="仿宋" w:eastAsia="仿宋"/>
          <w:color w:val="000000" w:themeColor="text1"/>
          <w:sz w:val="32"/>
          <w:szCs w:val="32"/>
          <w14:textFill>
            <w14:solidFill>
              <w14:schemeClr w14:val="tx1"/>
            </w14:solidFill>
          </w14:textFill>
        </w:rPr>
        <w:t>。落实</w:t>
      </w:r>
      <w:r>
        <w:rPr>
          <w:rFonts w:ascii="仿宋" w:hAnsi="仿宋" w:eastAsia="仿宋"/>
          <w:color w:val="000000" w:themeColor="text1"/>
          <w:sz w:val="32"/>
          <w:szCs w:val="32"/>
          <w14:textFill>
            <w14:solidFill>
              <w14:schemeClr w14:val="tx1"/>
            </w14:solidFill>
          </w14:textFill>
        </w:rPr>
        <w:t>《荆楚理工学院关于推进产教融合协同育人的指导意见》，积极推动教育部产学合作协同育人项目落地获</w:t>
      </w:r>
      <w:r>
        <w:rPr>
          <w:rFonts w:hint="eastAsia" w:ascii="仿宋" w:hAnsi="仿宋" w:eastAsia="仿宋"/>
          <w:color w:val="000000" w:themeColor="text1"/>
          <w:sz w:val="32"/>
          <w:szCs w:val="32"/>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批教育部产学合作协同育人项目7项。深化校企共建</w:t>
      </w:r>
      <w:r>
        <w:rPr>
          <w:rFonts w:hint="eastAsia" w:ascii="仿宋" w:hAnsi="仿宋" w:eastAsia="仿宋"/>
          <w:color w:val="000000" w:themeColor="text1"/>
          <w:sz w:val="32"/>
          <w:szCs w:val="32"/>
          <w14:textFill>
            <w14:solidFill>
              <w14:schemeClr w14:val="tx1"/>
            </w14:solidFill>
          </w14:textFill>
        </w:rPr>
        <w:t>，深化新工科协同育人，推进产业学院建设步伐，培育建设1—</w:t>
      </w:r>
      <w:r>
        <w:rPr>
          <w:rFonts w:ascii="仿宋" w:hAnsi="仿宋" w:eastAsia="仿宋"/>
          <w:color w:val="000000" w:themeColor="text1"/>
          <w:sz w:val="32"/>
          <w:szCs w:val="32"/>
          <w14:textFill>
            <w14:solidFill>
              <w14:schemeClr w14:val="tx1"/>
            </w14:solidFill>
          </w14:textFill>
        </w:rPr>
        <w:t>2个</w:t>
      </w:r>
      <w:r>
        <w:rPr>
          <w:rFonts w:hint="eastAsia" w:ascii="仿宋" w:hAnsi="仿宋" w:eastAsia="仿宋"/>
          <w:color w:val="000000" w:themeColor="text1"/>
          <w:sz w:val="32"/>
          <w:szCs w:val="32"/>
          <w14:textFill>
            <w14:solidFill>
              <w14:schemeClr w14:val="tx1"/>
            </w14:solidFill>
          </w14:textFill>
        </w:rPr>
        <w:t>现代产业学院，落实校地行企</w:t>
      </w:r>
      <w:r>
        <w:rPr>
          <w:rFonts w:ascii="仿宋" w:hAnsi="仿宋" w:eastAsia="仿宋"/>
          <w:color w:val="000000" w:themeColor="text1"/>
          <w:sz w:val="32"/>
          <w:szCs w:val="32"/>
          <w14:textFill>
            <w14:solidFill>
              <w14:schemeClr w14:val="tx1"/>
            </w14:solidFill>
          </w14:textFill>
        </w:rPr>
        <w:t>合作共建</w:t>
      </w:r>
      <w:r>
        <w:rPr>
          <w:rFonts w:hint="eastAsia" w:ascii="仿宋" w:hAnsi="仿宋" w:eastAsia="仿宋"/>
          <w:color w:val="000000" w:themeColor="text1"/>
          <w:sz w:val="32"/>
          <w:szCs w:val="32"/>
          <w14:textFill>
            <w14:solidFill>
              <w14:schemeClr w14:val="tx1"/>
            </w14:solidFill>
          </w14:textFill>
        </w:rPr>
        <w:t>产学研合作项目6个，新建省级实践教学基地1个。</w:t>
      </w:r>
    </w:p>
    <w:p>
      <w:pPr>
        <w:widowControl/>
        <w:shd w:val="clear" w:color="auto" w:fill="FFFFFF"/>
        <w:spacing w:line="560" w:lineRule="exact"/>
        <w:ind w:firstLine="640" w:firstLineChars="200"/>
        <w:rPr>
          <w:rFonts w:ascii="仿宋" w:hAnsi="仿宋" w:eastAsia="仿宋_GB2312"/>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拓展对外交流与合作渠道。推进省市校共建、校企合作、校校联合，完善市校战略合作与运行机制，与荆门市签订市校战略合作协议，与京山市签订战略合作协议。推进医教协同，在荆门市第二人民医院作为直属附属医院基础上，与荆门市第一人民医院共建直属附属医院。加强国际交流与合作，完成新的中外合作办学本科项目申报工作，不断提高留学生教育质量。进一步规范和拓展继续教育办学。</w:t>
      </w:r>
      <w:r>
        <w:rPr>
          <w:rFonts w:hint="eastAsia" w:ascii="仿宋_GB2312" w:hAnsi="黑体" w:eastAsia="仿宋_GB2312"/>
          <w:color w:val="000000" w:themeColor="text1"/>
          <w:kern w:val="0"/>
          <w:sz w:val="32"/>
          <w:szCs w:val="32"/>
          <w14:textFill>
            <w14:solidFill>
              <w14:schemeClr w14:val="tx1"/>
            </w14:solidFill>
          </w14:textFill>
        </w:rPr>
        <w:t>举办</w:t>
      </w:r>
      <w:r>
        <w:rPr>
          <w:rFonts w:ascii="仿宋_GB2312" w:hAnsi="黑体" w:eastAsia="仿宋_GB2312"/>
          <w:color w:val="000000" w:themeColor="text1"/>
          <w:kern w:val="0"/>
          <w:sz w:val="32"/>
          <w:szCs w:val="32"/>
          <w14:textFill>
            <w14:solidFill>
              <w14:schemeClr w14:val="tx1"/>
            </w14:solidFill>
          </w14:textFill>
        </w:rPr>
        <w:t>校庆</w:t>
      </w:r>
      <w:r>
        <w:rPr>
          <w:rFonts w:hint="eastAsia" w:ascii="仿宋_GB2312" w:hAnsi="黑体" w:eastAsia="仿宋_GB2312"/>
          <w:color w:val="000000" w:themeColor="text1"/>
          <w:kern w:val="0"/>
          <w:sz w:val="32"/>
          <w:szCs w:val="32"/>
          <w14:textFill>
            <w14:solidFill>
              <w14:schemeClr w14:val="tx1"/>
            </w14:solidFill>
          </w14:textFill>
        </w:rPr>
        <w:t>纪念日及</w:t>
      </w:r>
      <w:r>
        <w:rPr>
          <w:rFonts w:ascii="仿宋_GB2312" w:hAnsi="黑体" w:eastAsia="仿宋_GB2312"/>
          <w:color w:val="000000" w:themeColor="text1"/>
          <w:kern w:val="0"/>
          <w:sz w:val="32"/>
          <w:szCs w:val="32"/>
          <w14:textFill>
            <w14:solidFill>
              <w14:schemeClr w14:val="tx1"/>
            </w14:solidFill>
          </w14:textFill>
        </w:rPr>
        <w:t>校友返校日等活动</w:t>
      </w:r>
      <w:r>
        <w:rPr>
          <w:rFonts w:hint="eastAsia" w:ascii="仿宋_GB2312" w:hAnsi="黑体" w:eastAsia="仿宋_GB2312"/>
          <w:color w:val="000000" w:themeColor="text1"/>
          <w:kern w:val="0"/>
          <w:sz w:val="32"/>
          <w:szCs w:val="32"/>
          <w14:textFill>
            <w14:solidFill>
              <w14:schemeClr w14:val="tx1"/>
            </w14:solidFill>
          </w14:textFill>
        </w:rPr>
        <w:t>，</w:t>
      </w:r>
      <w:r>
        <w:rPr>
          <w:rFonts w:hint="eastAsia" w:ascii="仿宋_GB2312" w:hAnsi="黑体" w:eastAsia="仿宋_GB2312"/>
          <w:color w:val="000000" w:themeColor="text1"/>
          <w:kern w:val="0"/>
          <w:sz w:val="32"/>
          <w:szCs w:val="32"/>
          <w:lang w:val="en-US" w:eastAsia="zh-CN"/>
          <w14:textFill>
            <w14:solidFill>
              <w14:schemeClr w14:val="tx1"/>
            </w14:solidFill>
          </w14:textFill>
        </w:rPr>
        <w:t>持续</w:t>
      </w:r>
      <w:r>
        <w:rPr>
          <w:rFonts w:hint="eastAsia" w:ascii="仿宋_GB2312" w:hAnsi="黑体" w:eastAsia="仿宋_GB2312"/>
          <w:color w:val="000000" w:themeColor="text1"/>
          <w:kern w:val="0"/>
          <w:sz w:val="32"/>
          <w:szCs w:val="32"/>
          <w14:textFill>
            <w14:solidFill>
              <w14:schemeClr w14:val="tx1"/>
            </w14:solidFill>
          </w14:textFill>
        </w:rPr>
        <w:t>开展校企系列走访活动。</w:t>
      </w:r>
    </w:p>
    <w:p>
      <w:pPr>
        <w:pStyle w:val="6"/>
        <w:shd w:val="clear" w:color="auto" w:fill="FFFFFF"/>
        <w:spacing w:before="0" w:beforeAutospacing="0" w:after="0" w:afterAutospacing="0" w:line="560" w:lineRule="exact"/>
        <w:ind w:firstLine="645"/>
        <w:jc w:val="both"/>
        <w:rPr>
          <w:rFonts w:ascii="楷体" w:hAnsi="楷体" w:eastAsia="楷体" w:cstheme="minorBidi"/>
          <w:b/>
          <w:kern w:val="2"/>
          <w:sz w:val="32"/>
          <w:szCs w:val="32"/>
        </w:rPr>
      </w:pPr>
      <w:r>
        <w:rPr>
          <w:rFonts w:hint="eastAsia" w:ascii="楷体" w:hAnsi="楷体" w:eastAsia="楷体" w:cstheme="minorBidi"/>
          <w:b/>
          <w:kern w:val="2"/>
          <w:sz w:val="32"/>
          <w:szCs w:val="32"/>
        </w:rPr>
        <w:t>（五）着力打造人才高地，奋力实施“人才强校工程”</w:t>
      </w:r>
    </w:p>
    <w:p>
      <w:pPr>
        <w:widowControl/>
        <w:shd w:val="clear" w:color="auto" w:fill="FFFFFF"/>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加大高层次人才引育力度。继续</w:t>
      </w:r>
      <w:r>
        <w:rPr>
          <w:rFonts w:hint="eastAsia" w:ascii="仿宋" w:hAnsi="仿宋" w:eastAsia="仿宋"/>
          <w:color w:val="000000" w:themeColor="text1"/>
          <w:sz w:val="32"/>
          <w:szCs w:val="32"/>
          <w14:textFill>
            <w14:solidFill>
              <w14:schemeClr w14:val="tx1"/>
            </w14:solidFill>
          </w14:textFill>
        </w:rPr>
        <w:t>实施硕博百人工程，</w:t>
      </w:r>
      <w:r>
        <w:rPr>
          <w:rFonts w:ascii="仿宋" w:hAnsi="仿宋" w:eastAsia="仿宋"/>
          <w:color w:val="000000" w:themeColor="text1"/>
          <w:sz w:val="32"/>
          <w:szCs w:val="32"/>
          <w14:textFill>
            <w14:solidFill>
              <w14:schemeClr w14:val="tx1"/>
            </w14:solidFill>
          </w14:textFill>
        </w:rPr>
        <w:t>加强校院联动，多渠道发掘人才，科学制定引才策略，搭建引才平台</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不断加大人才的引进力度</w:t>
      </w:r>
      <w:r>
        <w:rPr>
          <w:rFonts w:hint="eastAsia" w:ascii="仿宋" w:hAnsi="仿宋" w:eastAsia="仿宋"/>
          <w:color w:val="000000" w:themeColor="text1"/>
          <w:sz w:val="32"/>
          <w:szCs w:val="32"/>
          <w14:textFill>
            <w14:solidFill>
              <w14:schemeClr w14:val="tx1"/>
            </w14:solidFill>
          </w14:textFill>
        </w:rPr>
        <w:t>。开展学科带头人的柔性聘用工作</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打造创新团队，继续推进“博士化”工程，加强政策引导和指标倾斜，鼓励中青年骨干教师到国内“双一流”大学攻读博士学位。加强辅导员队伍、思政课教师队伍和实验实践教师队伍建设。</w:t>
      </w:r>
    </w:p>
    <w:p>
      <w:pPr>
        <w:widowControl/>
        <w:shd w:val="clear" w:color="auto" w:fill="FFFFFF"/>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健全人才服务支撑体系建设。加强部门联动，着力解决人才在教学科研用房、生活保障等方面的需求，为人才安心开展工作提供有力的保障条件</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建立以能力、实绩和贡献为导向的人才评价体系，营造有利于人才静心搞学问、潜心做研究的良好环境，促进人才的良性发展。</w:t>
      </w:r>
    </w:p>
    <w:p>
      <w:pPr>
        <w:widowControl/>
        <w:shd w:val="clear" w:color="auto" w:fill="FFFFFF"/>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严格落实第一标准，注重师德考核及其结果运用。坚持师德教育常态化，持续开展“荆楚理工名师”“师德标兵”评选表彰。</w:t>
      </w:r>
    </w:p>
    <w:p>
      <w:pPr>
        <w:pStyle w:val="6"/>
        <w:shd w:val="clear" w:color="auto" w:fill="FFFFFF"/>
        <w:spacing w:before="0" w:beforeAutospacing="0" w:after="0" w:afterAutospacing="0" w:line="560" w:lineRule="exact"/>
        <w:ind w:firstLine="645"/>
        <w:jc w:val="both"/>
        <w:rPr>
          <w:rFonts w:ascii="楷体" w:hAnsi="楷体" w:eastAsia="楷体" w:cstheme="minorBidi"/>
          <w:b/>
          <w:kern w:val="2"/>
          <w:sz w:val="32"/>
          <w:szCs w:val="32"/>
        </w:rPr>
      </w:pPr>
      <w:r>
        <w:rPr>
          <w:rFonts w:hint="eastAsia" w:ascii="楷体" w:hAnsi="楷体" w:eastAsia="楷体" w:cstheme="minorBidi"/>
          <w:b/>
          <w:kern w:val="2"/>
          <w:sz w:val="32"/>
          <w:szCs w:val="32"/>
        </w:rPr>
        <w:t>（六）深化改革创新，奋力实施“治理提升工程”</w:t>
      </w:r>
    </w:p>
    <w:p>
      <w:pPr>
        <w:widowControl/>
        <w:shd w:val="clear" w:color="auto" w:fill="FFFFFF"/>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推进治理体系和治理能力现代化。以省属高校高质量发展综合绩效考核为抓手，进一步完善学校内部治理结构，建立健全科学民主的领导机制、协同高效的管理和运行机制、精准有效的投入机制、激发全员活力的工作协调机制及绩效导向的考评机制。</w:t>
      </w:r>
      <w:r>
        <w:rPr>
          <w:rFonts w:ascii="仿宋" w:hAnsi="仿宋" w:eastAsia="仿宋"/>
          <w:color w:val="000000" w:themeColor="text1"/>
          <w:sz w:val="32"/>
          <w:szCs w:val="32"/>
          <w14:textFill>
            <w14:solidFill>
              <w14:schemeClr w14:val="tx1"/>
            </w14:solidFill>
          </w14:textFill>
        </w:rPr>
        <w:t>坚持依法治校，强化制度建设动态管理，进一步完善各类规章制度。</w:t>
      </w:r>
      <w:r>
        <w:rPr>
          <w:rFonts w:hint="eastAsia" w:ascii="仿宋" w:hAnsi="仿宋" w:eastAsia="仿宋"/>
          <w:color w:val="000000" w:themeColor="text1"/>
          <w:sz w:val="32"/>
          <w:szCs w:val="32"/>
          <w14:textFill>
            <w14:solidFill>
              <w14:schemeClr w14:val="tx1"/>
            </w14:solidFill>
          </w14:textFill>
        </w:rPr>
        <w:t>加强教代会、工代会建言议事能力，进一步完善学代会、团代会制度建设。</w:t>
      </w:r>
    </w:p>
    <w:p>
      <w:pPr>
        <w:widowControl/>
        <w:shd w:val="clear" w:color="auto" w:fill="FFFFFF"/>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深化教育评价改革。开展二级学院发展水平评估，对人才培养、科学研究、社会服务、治理水平等方面的建设质量和成效进行评价。用好评价的“牵引”作用，通过科学健全的评价体系建设促进教师个人发展与学科发展和学校战略目标的协调统一。</w:t>
      </w:r>
    </w:p>
    <w:p>
      <w:pPr>
        <w:spacing w:line="560" w:lineRule="exact"/>
        <w:ind w:firstLine="640" w:firstLineChars="200"/>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深化人事分配制度改革。建立以业绩为导向的绩效工资制度，做好教职工政策性工资调整、职称晋档以及新进人员工资套改和提高公积金缴费基数标准工作。</w:t>
      </w:r>
      <w:r>
        <w:rPr>
          <w:rFonts w:hint="eastAsia" w:ascii="仿宋" w:hAnsi="仿宋" w:eastAsia="仿宋"/>
          <w:sz w:val="32"/>
          <w:szCs w:val="32"/>
        </w:rPr>
        <w:t>修订教师系列专业技术职称评审条件，顺利完成系列专业技术职务评审工作。</w:t>
      </w:r>
    </w:p>
    <w:p>
      <w:pPr>
        <w:pStyle w:val="6"/>
        <w:shd w:val="clear" w:color="auto" w:fill="FFFFFF"/>
        <w:spacing w:before="0" w:beforeAutospacing="0" w:after="0" w:afterAutospacing="0" w:line="560" w:lineRule="exact"/>
        <w:ind w:firstLine="645"/>
        <w:jc w:val="both"/>
        <w:rPr>
          <w:rFonts w:ascii="楷体" w:hAnsi="楷体" w:eastAsia="楷体" w:cstheme="minorBidi"/>
          <w:b/>
          <w:kern w:val="2"/>
          <w:sz w:val="32"/>
          <w:szCs w:val="32"/>
        </w:rPr>
      </w:pPr>
      <w:r>
        <w:rPr>
          <w:rFonts w:hint="eastAsia" w:ascii="楷体" w:hAnsi="楷体" w:eastAsia="楷体" w:cstheme="minorBidi"/>
          <w:b/>
          <w:kern w:val="2"/>
          <w:sz w:val="32"/>
          <w:szCs w:val="32"/>
        </w:rPr>
        <w:t>（七）不断强化条件保障，奋力实施“幸福荆楚理工建设工程”</w:t>
      </w:r>
      <w:r>
        <w:rPr>
          <w:rFonts w:ascii="楷体" w:hAnsi="楷体" w:eastAsia="楷体" w:cstheme="minorBidi"/>
          <w:b/>
          <w:kern w:val="2"/>
          <w:sz w:val="32"/>
          <w:szCs w:val="32"/>
        </w:rPr>
        <w:t xml:space="preserve"> </w:t>
      </w:r>
    </w:p>
    <w:p>
      <w:pPr>
        <w:widowControl/>
        <w:shd w:val="clear" w:color="auto" w:fill="FFFFFF"/>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推进重点规划和基建项目建设。统筹校园规划总体修编和体育馆、理工综合实验大楼建设。加快推进高铁新城新校区征地和原博物馆地块、原龙泉玻璃厂地块规划建设。完成化工实验楼，A、B教学楼栋，学生宿舍观涧4、5栋维修改造等项目。</w:t>
      </w:r>
    </w:p>
    <w:p>
      <w:pPr>
        <w:widowControl/>
        <w:shd w:val="clear" w:color="auto" w:fill="FFFFFF"/>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提升公共服务水平。推进水电智能化远传信息平台建设项目，升级改造住宿系统。推进档案工作数字转型和智能升级，谋划校史馆建设，创建“湖北省示范数字档案馆”。</w:t>
      </w:r>
      <w:r>
        <w:rPr>
          <w:rFonts w:hint="eastAsia" w:ascii="仿宋_GB2312" w:hAnsi="黑体" w:eastAsia="仿宋_GB2312"/>
          <w:kern w:val="0"/>
          <w:sz w:val="32"/>
          <w:szCs w:val="32"/>
        </w:rPr>
        <w:t>做好新一轮校银合作工作，确保信息化建设项目的可持续性。</w:t>
      </w:r>
      <w:r>
        <w:rPr>
          <w:rFonts w:hint="eastAsia" w:ascii="仿宋" w:hAnsi="仿宋" w:eastAsia="仿宋"/>
          <w:color w:val="000000" w:themeColor="text1"/>
          <w:sz w:val="32"/>
          <w:szCs w:val="32"/>
          <w14:textFill>
            <w14:solidFill>
              <w14:schemeClr w14:val="tx1"/>
            </w14:solidFill>
          </w14:textFill>
        </w:rPr>
        <w:t>进一步改善图书馆条件，优化阅读环境。做好财务审计、基建维修工程预算审核、基建维修工程结算审计，进一步规范学校经济秩序</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强</w:t>
      </w:r>
      <w:r>
        <w:rPr>
          <w:rFonts w:hint="eastAsia" w:ascii="仿宋" w:hAnsi="仿宋" w:eastAsia="仿宋"/>
          <w:color w:val="000000" w:themeColor="text1"/>
          <w:sz w:val="32"/>
          <w:szCs w:val="32"/>
          <w14:textFill>
            <w14:solidFill>
              <w14:schemeClr w14:val="tx1"/>
            </w14:solidFill>
          </w14:textFill>
        </w:rPr>
        <w:t>化风险管理。</w:t>
      </w:r>
    </w:p>
    <w:p>
      <w:pPr>
        <w:widowControl/>
        <w:shd w:val="clear" w:color="auto" w:fill="FFFFFF"/>
        <w:spacing w:line="560" w:lineRule="exact"/>
        <w:ind w:firstLine="640" w:firstLineChars="200"/>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sz w:val="32"/>
          <w:szCs w:val="32"/>
        </w:rPr>
        <w:t>持续推进民生改善。推进学校</w:t>
      </w:r>
      <w:r>
        <w:rPr>
          <w:rFonts w:ascii="仿宋" w:hAnsi="仿宋" w:eastAsia="仿宋"/>
          <w:sz w:val="32"/>
          <w:szCs w:val="32"/>
        </w:rPr>
        <w:t>退休“中人”养老保险待遇申领和“新人”养老保险上线运行工作</w:t>
      </w:r>
      <w:r>
        <w:rPr>
          <w:rFonts w:hint="eastAsia" w:ascii="仿宋" w:hAnsi="仿宋" w:eastAsia="仿宋"/>
          <w:sz w:val="32"/>
          <w:szCs w:val="32"/>
        </w:rPr>
        <w:t>。</w:t>
      </w:r>
      <w:r>
        <w:rPr>
          <w:rFonts w:ascii="仿宋" w:hAnsi="仿宋" w:eastAsia="仿宋"/>
          <w:sz w:val="32"/>
          <w:szCs w:val="32"/>
        </w:rPr>
        <w:t>完成</w:t>
      </w:r>
      <w:r>
        <w:rPr>
          <w:rFonts w:hint="eastAsia" w:ascii="仿宋" w:hAnsi="仿宋" w:eastAsia="仿宋"/>
          <w:sz w:val="32"/>
          <w:szCs w:val="32"/>
        </w:rPr>
        <w:t>2021、2022、2023年事业单位</w:t>
      </w:r>
      <w:r>
        <w:rPr>
          <w:rFonts w:ascii="仿宋" w:hAnsi="仿宋" w:eastAsia="仿宋"/>
          <w:sz w:val="32"/>
          <w:szCs w:val="32"/>
        </w:rPr>
        <w:t>养老保险缴费工作</w:t>
      </w:r>
      <w:r>
        <w:rPr>
          <w:rFonts w:hint="eastAsia" w:ascii="仿宋" w:hAnsi="仿宋" w:eastAsia="仿宋"/>
          <w:sz w:val="32"/>
          <w:szCs w:val="32"/>
        </w:rPr>
        <w:t>。修订《荆楚理工学院慰问管理办法》。组织开展单身教职工联谊活动。强化学生资助管理，做实做好勤工俭学、奖励资助和困难学生帮扶工作。</w:t>
      </w:r>
    </w:p>
    <w:p>
      <w:pPr>
        <w:pStyle w:val="2"/>
        <w:wordWrap/>
        <w:spacing w:after="0" w:line="56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积极开源节流。</w:t>
      </w:r>
      <w:r>
        <w:rPr>
          <w:rFonts w:hint="eastAsia" w:ascii="仿宋" w:hAnsi="仿宋" w:eastAsia="仿宋"/>
          <w:color w:val="000000" w:themeColor="text1"/>
          <w:sz w:val="32"/>
          <w:szCs w:val="32"/>
          <w14:textFill>
            <w14:solidFill>
              <w14:schemeClr w14:val="tx1"/>
            </w14:solidFill>
          </w14:textFill>
        </w:rPr>
        <w:t>多渠道拓展办学资源</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加强与政府部门和社会机构的沟通与合作，争取财政政策和项目资源。</w:t>
      </w:r>
      <w:r>
        <w:rPr>
          <w:rFonts w:hint="eastAsia" w:ascii="仿宋" w:hAnsi="仿宋" w:eastAsia="仿宋"/>
          <w:color w:val="000000" w:themeColor="text1"/>
          <w:sz w:val="32"/>
          <w:szCs w:val="32"/>
          <w:lang w:val="en-US" w:eastAsia="zh-CN"/>
          <w14:textFill>
            <w14:solidFill>
              <w14:schemeClr w14:val="tx1"/>
            </w14:solidFill>
          </w14:textFill>
        </w:rPr>
        <w:t>增强自身造血功能，</w:t>
      </w:r>
      <w:r>
        <w:rPr>
          <w:rFonts w:hint="eastAsia" w:ascii="仿宋" w:hAnsi="仿宋" w:eastAsia="仿宋"/>
          <w:color w:val="000000" w:themeColor="text1"/>
          <w:sz w:val="32"/>
          <w:szCs w:val="32"/>
          <w14:textFill>
            <w14:solidFill>
              <w14:schemeClr w14:val="tx1"/>
            </w14:solidFill>
          </w14:textFill>
        </w:rPr>
        <w:t>发挥校友会、基金会作用，提高基金会筹资能力。落实过“紧日子”要求，调整优化支出结构，保障重点工作和刚性支出资金需求。推动盘清国有资产，健全</w:t>
      </w:r>
      <w:r>
        <w:rPr>
          <w:rFonts w:hint="eastAsia" w:ascii="仿宋" w:hAnsi="仿宋" w:eastAsia="仿宋"/>
          <w:color w:val="000000"/>
          <w:sz w:val="32"/>
          <w:szCs w:val="32"/>
        </w:rPr>
        <w:t>大型仪器设备</w:t>
      </w:r>
      <w:r>
        <w:rPr>
          <w:rFonts w:hint="eastAsia" w:ascii="仿宋" w:hAnsi="仿宋" w:eastAsia="仿宋"/>
          <w:color w:val="000000" w:themeColor="text1"/>
          <w:sz w:val="32"/>
          <w:szCs w:val="32"/>
          <w14:textFill>
            <w14:solidFill>
              <w14:schemeClr w14:val="tx1"/>
            </w14:solidFill>
          </w14:textFill>
        </w:rPr>
        <w:t>共享公用机制，加强国有资产管理绩效考评，提高资产使用效益。</w:t>
      </w:r>
    </w:p>
    <w:p>
      <w:pPr>
        <w:adjustRightInd w:val="0"/>
        <w:snapToGrid w:val="0"/>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持续推进“平安校园”建设。落实总体国家安全观，完善重大突发事件应急预案，全力维护校园和谐稳定。统筹做好疫情防控工作，认真落实“乙类乙管”下疫情防控各项举措，</w:t>
      </w:r>
      <w:r>
        <w:rPr>
          <w:rFonts w:hint="eastAsia" w:ascii="仿宋_GB2312" w:hAnsi="仿宋_GB2312" w:eastAsia="仿宋_GB2312" w:cs="仿宋_GB2312"/>
          <w:snapToGrid w:val="0"/>
          <w:sz w:val="32"/>
          <w:szCs w:val="32"/>
        </w:rPr>
        <w:t>引导师生养成良好卫生习惯。</w:t>
      </w:r>
      <w:r>
        <w:rPr>
          <w:rFonts w:hint="eastAsia" w:ascii="仿宋" w:hAnsi="仿宋" w:eastAsia="仿宋"/>
          <w:color w:val="000000" w:themeColor="text1"/>
          <w:sz w:val="32"/>
          <w:szCs w:val="32"/>
          <w14:textFill>
            <w14:solidFill>
              <w14:schemeClr w14:val="tx1"/>
            </w14:solidFill>
          </w14:textFill>
        </w:rPr>
        <w:t>抓好护校安园、火灾防控、实验室管理等专项工作。强化保密工作宣传教育，依法做好信访接访工作。</w:t>
      </w:r>
    </w:p>
    <w:p>
      <w:pPr>
        <w:widowControl/>
        <w:shd w:val="clear" w:color="auto" w:fill="FFFFFF"/>
        <w:spacing w:line="560" w:lineRule="exact"/>
        <w:ind w:firstLine="640" w:firstLineChars="200"/>
        <w:rPr>
          <w:color w:val="000000" w:themeColor="text1"/>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各位代表、同志们！鞍马犹未歇，战鼓又催征。</w:t>
      </w:r>
      <w:r>
        <w:rPr>
          <w:rFonts w:hint="eastAsia" w:ascii="仿宋" w:hAnsi="仿宋" w:eastAsia="仿宋"/>
          <w:color w:val="000000" w:themeColor="text1"/>
          <w:sz w:val="32"/>
          <w:szCs w:val="32"/>
          <w14:textFill>
            <w14:solidFill>
              <w14:schemeClr w14:val="tx1"/>
            </w14:solidFill>
          </w14:textFill>
        </w:rPr>
        <w:t>站在新起点、启航新征程、实现新突破，不仅是每一个荆楚理工人应尽的义务，更是新时代赋予我们的神圣使命。让我们高举习近平新时代中国特色社会主义思想伟大旗帜，</w:t>
      </w:r>
      <w:r>
        <w:rPr>
          <w:rFonts w:ascii="仿宋" w:hAnsi="仿宋" w:eastAsia="仿宋"/>
          <w:color w:val="000000" w:themeColor="text1"/>
          <w:sz w:val="32"/>
          <w:szCs w:val="32"/>
          <w14:textFill>
            <w14:solidFill>
              <w14:schemeClr w14:val="tx1"/>
            </w14:solidFill>
          </w14:textFill>
        </w:rPr>
        <w:t>紧紧围绕落实立德树人的根本任务，</w:t>
      </w:r>
      <w:r>
        <w:rPr>
          <w:rFonts w:hint="eastAsia" w:ascii="仿宋" w:hAnsi="仿宋" w:eastAsia="仿宋"/>
          <w:color w:val="000000" w:themeColor="text1"/>
          <w:sz w:val="32"/>
          <w:szCs w:val="32"/>
          <w14:textFill>
            <w14:solidFill>
              <w14:schemeClr w14:val="tx1"/>
            </w14:solidFill>
          </w14:textFill>
        </w:rPr>
        <w:t>厚植荆楚理工情怀，</w:t>
      </w:r>
      <w:r>
        <w:rPr>
          <w:rFonts w:ascii="仿宋" w:hAnsi="仿宋" w:eastAsia="仿宋"/>
          <w:color w:val="000000" w:themeColor="text1"/>
          <w:sz w:val="32"/>
          <w:szCs w:val="32"/>
          <w14:textFill>
            <w14:solidFill>
              <w14:schemeClr w14:val="tx1"/>
            </w14:solidFill>
          </w14:textFill>
        </w:rPr>
        <w:t>锚定学校“十四五”事业发展目标，在省委省政府的坚强领导下，踔厉奋发、勇毅前行，</w:t>
      </w:r>
      <w:r>
        <w:rPr>
          <w:rFonts w:hint="eastAsia" w:ascii="仿宋" w:hAnsi="仿宋" w:eastAsia="仿宋"/>
          <w:color w:val="000000" w:themeColor="text1"/>
          <w:sz w:val="32"/>
          <w:szCs w:val="32"/>
          <w14:textFill>
            <w14:solidFill>
              <w14:schemeClr w14:val="tx1"/>
            </w14:solidFill>
          </w14:textFill>
        </w:rPr>
        <w:t>在奋力追赶超越中谱写建设特色鲜明的高水平应用型大学新篇章。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899878002"/>
    </w:sdtPr>
    <w:sdtEndPr>
      <w:rPr>
        <w:rFonts w:ascii="Times New Roman" w:hAnsi="Times New Roman" w:cs="Times New Roman"/>
        <w:sz w:val="24"/>
        <w:szCs w:val="24"/>
      </w:rPr>
    </w:sdtEndPr>
    <w:sdt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10</w:t>
        </w:r>
        <w:r>
          <w:rPr>
            <w:rFonts w:ascii="Times New Roman" w:hAnsi="Times New Roman" w:cs="Times New Roman"/>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OTQyMjM0NDhlYWI1ZWI2MGUxODI3Zjg0ZWM0YmQifQ=="/>
  </w:docVars>
  <w:rsids>
    <w:rsidRoot w:val="00EB64BF"/>
    <w:rsid w:val="000034B0"/>
    <w:rsid w:val="00012888"/>
    <w:rsid w:val="00025454"/>
    <w:rsid w:val="00027933"/>
    <w:rsid w:val="00036601"/>
    <w:rsid w:val="00045AEA"/>
    <w:rsid w:val="00053411"/>
    <w:rsid w:val="000646E8"/>
    <w:rsid w:val="000A4B52"/>
    <w:rsid w:val="000C059B"/>
    <w:rsid w:val="000D0C76"/>
    <w:rsid w:val="000D6600"/>
    <w:rsid w:val="00111AEA"/>
    <w:rsid w:val="00117829"/>
    <w:rsid w:val="001840B7"/>
    <w:rsid w:val="001A7CB6"/>
    <w:rsid w:val="001B0446"/>
    <w:rsid w:val="001C3362"/>
    <w:rsid w:val="001C67EF"/>
    <w:rsid w:val="001D0A30"/>
    <w:rsid w:val="001F092A"/>
    <w:rsid w:val="001F2974"/>
    <w:rsid w:val="001F36F4"/>
    <w:rsid w:val="0020273A"/>
    <w:rsid w:val="00210C07"/>
    <w:rsid w:val="00213D6F"/>
    <w:rsid w:val="002161E9"/>
    <w:rsid w:val="00221725"/>
    <w:rsid w:val="0026325D"/>
    <w:rsid w:val="0026677E"/>
    <w:rsid w:val="002B3F80"/>
    <w:rsid w:val="002E0779"/>
    <w:rsid w:val="00300B43"/>
    <w:rsid w:val="003579BF"/>
    <w:rsid w:val="00395141"/>
    <w:rsid w:val="003A1D87"/>
    <w:rsid w:val="003B3110"/>
    <w:rsid w:val="003F13F0"/>
    <w:rsid w:val="0040051E"/>
    <w:rsid w:val="004200AF"/>
    <w:rsid w:val="0043766E"/>
    <w:rsid w:val="00485F8F"/>
    <w:rsid w:val="00496590"/>
    <w:rsid w:val="004F0031"/>
    <w:rsid w:val="004F1C4A"/>
    <w:rsid w:val="00507476"/>
    <w:rsid w:val="00512CE4"/>
    <w:rsid w:val="00512D90"/>
    <w:rsid w:val="00523B31"/>
    <w:rsid w:val="00530324"/>
    <w:rsid w:val="00544D97"/>
    <w:rsid w:val="0058765D"/>
    <w:rsid w:val="0059340D"/>
    <w:rsid w:val="005B008D"/>
    <w:rsid w:val="005D2A1F"/>
    <w:rsid w:val="005F58DF"/>
    <w:rsid w:val="006046E3"/>
    <w:rsid w:val="00611048"/>
    <w:rsid w:val="00626679"/>
    <w:rsid w:val="00653320"/>
    <w:rsid w:val="00656E39"/>
    <w:rsid w:val="00681174"/>
    <w:rsid w:val="00685961"/>
    <w:rsid w:val="006D0397"/>
    <w:rsid w:val="0070427C"/>
    <w:rsid w:val="007200BC"/>
    <w:rsid w:val="0072032D"/>
    <w:rsid w:val="00737225"/>
    <w:rsid w:val="00763FBF"/>
    <w:rsid w:val="00786615"/>
    <w:rsid w:val="00791DFA"/>
    <w:rsid w:val="0079270F"/>
    <w:rsid w:val="007C4E49"/>
    <w:rsid w:val="007C5AFF"/>
    <w:rsid w:val="00814505"/>
    <w:rsid w:val="008168AA"/>
    <w:rsid w:val="00817561"/>
    <w:rsid w:val="008530DC"/>
    <w:rsid w:val="008706EF"/>
    <w:rsid w:val="008824D3"/>
    <w:rsid w:val="00897B24"/>
    <w:rsid w:val="008B6AC6"/>
    <w:rsid w:val="008C17E3"/>
    <w:rsid w:val="008C380E"/>
    <w:rsid w:val="008C6CE9"/>
    <w:rsid w:val="008C6D58"/>
    <w:rsid w:val="008D2943"/>
    <w:rsid w:val="008E102A"/>
    <w:rsid w:val="008E18A7"/>
    <w:rsid w:val="008E369E"/>
    <w:rsid w:val="008F76CA"/>
    <w:rsid w:val="00930DF1"/>
    <w:rsid w:val="00932DB2"/>
    <w:rsid w:val="00961DC1"/>
    <w:rsid w:val="00966821"/>
    <w:rsid w:val="00994A46"/>
    <w:rsid w:val="009A7045"/>
    <w:rsid w:val="009B6AC1"/>
    <w:rsid w:val="009C0DDC"/>
    <w:rsid w:val="009C1F53"/>
    <w:rsid w:val="009C60DE"/>
    <w:rsid w:val="00A17B33"/>
    <w:rsid w:val="00A2005F"/>
    <w:rsid w:val="00A27E27"/>
    <w:rsid w:val="00A3006B"/>
    <w:rsid w:val="00A33E71"/>
    <w:rsid w:val="00A42E8D"/>
    <w:rsid w:val="00A440B9"/>
    <w:rsid w:val="00A8081E"/>
    <w:rsid w:val="00A8598F"/>
    <w:rsid w:val="00AA09B8"/>
    <w:rsid w:val="00AC26F7"/>
    <w:rsid w:val="00AC5560"/>
    <w:rsid w:val="00AE3D8B"/>
    <w:rsid w:val="00AE3FCE"/>
    <w:rsid w:val="00AE4758"/>
    <w:rsid w:val="00B1184F"/>
    <w:rsid w:val="00B118C9"/>
    <w:rsid w:val="00B15CC1"/>
    <w:rsid w:val="00B21F70"/>
    <w:rsid w:val="00B261C5"/>
    <w:rsid w:val="00B3194D"/>
    <w:rsid w:val="00B44544"/>
    <w:rsid w:val="00B66D48"/>
    <w:rsid w:val="00B82E33"/>
    <w:rsid w:val="00B87B96"/>
    <w:rsid w:val="00B93989"/>
    <w:rsid w:val="00BA7B51"/>
    <w:rsid w:val="00BC0D2F"/>
    <w:rsid w:val="00BD266C"/>
    <w:rsid w:val="00BD4811"/>
    <w:rsid w:val="00BE2793"/>
    <w:rsid w:val="00BE7C20"/>
    <w:rsid w:val="00C32555"/>
    <w:rsid w:val="00C36891"/>
    <w:rsid w:val="00C73BC4"/>
    <w:rsid w:val="00C77A63"/>
    <w:rsid w:val="00C87A55"/>
    <w:rsid w:val="00C93B92"/>
    <w:rsid w:val="00C9526D"/>
    <w:rsid w:val="00C967A9"/>
    <w:rsid w:val="00CD07BF"/>
    <w:rsid w:val="00CD250B"/>
    <w:rsid w:val="00CD2FC4"/>
    <w:rsid w:val="00CD67A1"/>
    <w:rsid w:val="00CE72F4"/>
    <w:rsid w:val="00CE7E61"/>
    <w:rsid w:val="00D200BE"/>
    <w:rsid w:val="00D27508"/>
    <w:rsid w:val="00D318DB"/>
    <w:rsid w:val="00D40EB1"/>
    <w:rsid w:val="00D447F6"/>
    <w:rsid w:val="00D667BE"/>
    <w:rsid w:val="00D72762"/>
    <w:rsid w:val="00D9150B"/>
    <w:rsid w:val="00DA1A08"/>
    <w:rsid w:val="00DB5AA6"/>
    <w:rsid w:val="00DF1894"/>
    <w:rsid w:val="00DF5D35"/>
    <w:rsid w:val="00E1020C"/>
    <w:rsid w:val="00E204B7"/>
    <w:rsid w:val="00E5037B"/>
    <w:rsid w:val="00E52ADD"/>
    <w:rsid w:val="00E53DFB"/>
    <w:rsid w:val="00E56781"/>
    <w:rsid w:val="00E96AA5"/>
    <w:rsid w:val="00E97578"/>
    <w:rsid w:val="00EA6251"/>
    <w:rsid w:val="00EA7D0D"/>
    <w:rsid w:val="00EB3070"/>
    <w:rsid w:val="00EB64BF"/>
    <w:rsid w:val="00EC64B3"/>
    <w:rsid w:val="00EE29A9"/>
    <w:rsid w:val="00EF78A1"/>
    <w:rsid w:val="00F266D3"/>
    <w:rsid w:val="00F456B4"/>
    <w:rsid w:val="00F56804"/>
    <w:rsid w:val="00F67D82"/>
    <w:rsid w:val="00F75EAB"/>
    <w:rsid w:val="00F76070"/>
    <w:rsid w:val="00F90424"/>
    <w:rsid w:val="00FA1649"/>
    <w:rsid w:val="00FB46A8"/>
    <w:rsid w:val="00FC181E"/>
    <w:rsid w:val="00FD3C13"/>
    <w:rsid w:val="00FD5297"/>
    <w:rsid w:val="00FE3EAA"/>
    <w:rsid w:val="01735905"/>
    <w:rsid w:val="020D79C3"/>
    <w:rsid w:val="024A5E4B"/>
    <w:rsid w:val="053F60F3"/>
    <w:rsid w:val="05F4705E"/>
    <w:rsid w:val="06913F86"/>
    <w:rsid w:val="06E4311A"/>
    <w:rsid w:val="07594DD3"/>
    <w:rsid w:val="07DE24CD"/>
    <w:rsid w:val="081A3133"/>
    <w:rsid w:val="08DF79DD"/>
    <w:rsid w:val="0A096153"/>
    <w:rsid w:val="0B62685D"/>
    <w:rsid w:val="0D546568"/>
    <w:rsid w:val="0DA67D0E"/>
    <w:rsid w:val="0E7479E9"/>
    <w:rsid w:val="0E8543F9"/>
    <w:rsid w:val="10290EB0"/>
    <w:rsid w:val="12B90D64"/>
    <w:rsid w:val="12F72106"/>
    <w:rsid w:val="1365189C"/>
    <w:rsid w:val="140212F1"/>
    <w:rsid w:val="15044A1A"/>
    <w:rsid w:val="1558097B"/>
    <w:rsid w:val="157B622D"/>
    <w:rsid w:val="167F2A1D"/>
    <w:rsid w:val="17306175"/>
    <w:rsid w:val="1756461E"/>
    <w:rsid w:val="18E87136"/>
    <w:rsid w:val="1B572C61"/>
    <w:rsid w:val="1B843A46"/>
    <w:rsid w:val="1F3314D9"/>
    <w:rsid w:val="221C344A"/>
    <w:rsid w:val="23940D1D"/>
    <w:rsid w:val="23EA39CD"/>
    <w:rsid w:val="24863878"/>
    <w:rsid w:val="24BC495F"/>
    <w:rsid w:val="25885FB1"/>
    <w:rsid w:val="25C56C1C"/>
    <w:rsid w:val="2661726C"/>
    <w:rsid w:val="272C0707"/>
    <w:rsid w:val="281B76B8"/>
    <w:rsid w:val="28CC03F4"/>
    <w:rsid w:val="28E46AC4"/>
    <w:rsid w:val="293D0C17"/>
    <w:rsid w:val="2BCB25E8"/>
    <w:rsid w:val="2C5030EA"/>
    <w:rsid w:val="2D084E55"/>
    <w:rsid w:val="2D7C0DC3"/>
    <w:rsid w:val="2EA72D69"/>
    <w:rsid w:val="2FCB20A8"/>
    <w:rsid w:val="30A056C1"/>
    <w:rsid w:val="30F819A4"/>
    <w:rsid w:val="313A6C95"/>
    <w:rsid w:val="321E5052"/>
    <w:rsid w:val="32C9795A"/>
    <w:rsid w:val="33387E75"/>
    <w:rsid w:val="334038C3"/>
    <w:rsid w:val="35376592"/>
    <w:rsid w:val="356933EA"/>
    <w:rsid w:val="35B26DE2"/>
    <w:rsid w:val="36E8445F"/>
    <w:rsid w:val="370E5DF7"/>
    <w:rsid w:val="380A60CA"/>
    <w:rsid w:val="38CB732D"/>
    <w:rsid w:val="398E2394"/>
    <w:rsid w:val="3AC73D8E"/>
    <w:rsid w:val="3BB94C78"/>
    <w:rsid w:val="3C003C3E"/>
    <w:rsid w:val="3C41003B"/>
    <w:rsid w:val="3D262F5A"/>
    <w:rsid w:val="3F80563C"/>
    <w:rsid w:val="3FD2387A"/>
    <w:rsid w:val="41135E1D"/>
    <w:rsid w:val="426620F7"/>
    <w:rsid w:val="438113D3"/>
    <w:rsid w:val="440E76BA"/>
    <w:rsid w:val="45C108A7"/>
    <w:rsid w:val="46340F2E"/>
    <w:rsid w:val="48813263"/>
    <w:rsid w:val="48FF50DD"/>
    <w:rsid w:val="4A3044BC"/>
    <w:rsid w:val="4A432207"/>
    <w:rsid w:val="4A770EE4"/>
    <w:rsid w:val="4B757667"/>
    <w:rsid w:val="4D1711C1"/>
    <w:rsid w:val="4DA542B8"/>
    <w:rsid w:val="51A17C0B"/>
    <w:rsid w:val="522E12AD"/>
    <w:rsid w:val="53311748"/>
    <w:rsid w:val="5388643E"/>
    <w:rsid w:val="53DD636F"/>
    <w:rsid w:val="547A419A"/>
    <w:rsid w:val="555D1413"/>
    <w:rsid w:val="5659480F"/>
    <w:rsid w:val="5A355549"/>
    <w:rsid w:val="5A4845EC"/>
    <w:rsid w:val="5A686797"/>
    <w:rsid w:val="5D13289B"/>
    <w:rsid w:val="61CA3018"/>
    <w:rsid w:val="621B5C96"/>
    <w:rsid w:val="6235103C"/>
    <w:rsid w:val="63FB5BD8"/>
    <w:rsid w:val="64954BFF"/>
    <w:rsid w:val="64E35BA2"/>
    <w:rsid w:val="66484FAC"/>
    <w:rsid w:val="672F3320"/>
    <w:rsid w:val="69392234"/>
    <w:rsid w:val="699070BC"/>
    <w:rsid w:val="69B50165"/>
    <w:rsid w:val="69BD4C13"/>
    <w:rsid w:val="69E462AD"/>
    <w:rsid w:val="69F22D7B"/>
    <w:rsid w:val="6CE80092"/>
    <w:rsid w:val="6D2E2881"/>
    <w:rsid w:val="6E677844"/>
    <w:rsid w:val="6E8D6CB9"/>
    <w:rsid w:val="6ECB392F"/>
    <w:rsid w:val="6EDE7625"/>
    <w:rsid w:val="70D64C91"/>
    <w:rsid w:val="72164D32"/>
    <w:rsid w:val="729A1F96"/>
    <w:rsid w:val="72FE7153"/>
    <w:rsid w:val="7401479D"/>
    <w:rsid w:val="78FF1DD5"/>
    <w:rsid w:val="79156FA4"/>
    <w:rsid w:val="79893713"/>
    <w:rsid w:val="7A1119C6"/>
    <w:rsid w:val="7A8771B0"/>
    <w:rsid w:val="7BE8617C"/>
    <w:rsid w:val="7C507B69"/>
    <w:rsid w:val="7CAE3D9C"/>
    <w:rsid w:val="7CCC3693"/>
    <w:rsid w:val="7CDB0207"/>
    <w:rsid w:val="7E9401E1"/>
    <w:rsid w:val="7F813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Subtitle"/>
    <w:basedOn w:val="1"/>
    <w:next w:val="1"/>
    <w:qFormat/>
    <w:uiPriority w:val="99"/>
    <w:pPr>
      <w:widowControl/>
      <w:wordWrap w:val="0"/>
      <w:spacing w:after="60"/>
      <w:jc w:val="center"/>
    </w:pPr>
    <w:rPr>
      <w:rFonts w:ascii="宋体" w:hAnsi="宋体" w:cs="宋体"/>
      <w:kern w:val="0"/>
      <w:sz w:val="24"/>
      <w:szCs w:val="20"/>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标题 2 Char"/>
    <w:basedOn w:val="8"/>
    <w:link w:val="3"/>
    <w:semiHidden/>
    <w:qFormat/>
    <w:uiPriority w:val="9"/>
    <w:rPr>
      <w:rFonts w:asciiTheme="majorHAnsi" w:hAnsiTheme="majorHAnsi" w:eastAsiaTheme="majorEastAsia" w:cstheme="majorBidi"/>
      <w:b/>
      <w:bCs/>
      <w:sz w:val="32"/>
      <w:szCs w:val="32"/>
    </w:rPr>
  </w:style>
  <w:style w:type="character" w:customStyle="1" w:styleId="15">
    <w:name w:val="未处理的提及1"/>
    <w:basedOn w:val="8"/>
    <w:semiHidden/>
    <w:unhideWhenUsed/>
    <w:qFormat/>
    <w:uiPriority w:val="99"/>
    <w:rPr>
      <w:color w:val="605E5C"/>
      <w:shd w:val="clear" w:color="auto" w:fill="E1DFDD"/>
    </w:rPr>
  </w:style>
  <w:style w:type="paragraph" w:customStyle="1" w:styleId="16">
    <w:name w:val="p15"/>
    <w:basedOn w:val="1"/>
    <w:qFormat/>
    <w:uiPriority w:val="0"/>
    <w:pPr>
      <w:widowControl/>
      <w:spacing w:line="360" w:lineRule="auto"/>
      <w:ind w:firstLine="420"/>
    </w:pPr>
    <w:rPr>
      <w:rFonts w:ascii="Calibri" w:hAnsi="Calibri" w:eastAsia="宋体" w:cs="Calibri"/>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8599</Words>
  <Characters>8733</Characters>
  <Lines>62</Lines>
  <Paragraphs>17</Paragraphs>
  <TotalTime>3</TotalTime>
  <ScaleCrop>false</ScaleCrop>
  <LinksUpToDate>false</LinksUpToDate>
  <CharactersWithSpaces>8742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2022-12-15T08:08:00Z</dcterms:created>
  <dc:creator>舒用波</dc:creator>
  <cp:lastModifiedBy>Administrator</cp:lastModifiedBy>
  <cp:lastPrinted>2023-02-09T01:56:00Z</cp:lastPrinted>
  <dcterms:modified xsi:type="dcterms:W3CDTF">2023-02-09T03:18:46Z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D36D16556512449FB9881FC197ED09F8</vt:lpwstr>
  </property>
</Properties>
</file>